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89FC" w14:textId="77777777" w:rsidR="00E511A2" w:rsidRPr="00DB04ED" w:rsidRDefault="00E511A2" w:rsidP="00591636">
      <w:pPr>
        <w:pStyle w:val="PlainText"/>
        <w:jc w:val="center"/>
        <w:rPr>
          <w:rFonts w:ascii="Times New Roman" w:hAnsi="Times New Roman"/>
          <w:b/>
          <w:sz w:val="24"/>
          <w:szCs w:val="24"/>
        </w:rPr>
      </w:pPr>
      <w:bookmarkStart w:id="0" w:name="_GoBack"/>
      <w:bookmarkEnd w:id="0"/>
      <w:r w:rsidRPr="00DB04ED">
        <w:rPr>
          <w:rFonts w:ascii="Times New Roman" w:hAnsi="Times New Roman"/>
          <w:b/>
          <w:sz w:val="24"/>
          <w:szCs w:val="24"/>
        </w:rPr>
        <w:t>Valsts akciju sabiedrības "Privatizācijas aģentūra"</w:t>
      </w:r>
    </w:p>
    <w:p w14:paraId="77186F92" w14:textId="77777777" w:rsidR="00E511A2" w:rsidRPr="00DB04ED" w:rsidRDefault="00E511A2" w:rsidP="00591636">
      <w:pPr>
        <w:pStyle w:val="PlainText"/>
        <w:jc w:val="center"/>
        <w:rPr>
          <w:rFonts w:ascii="Times New Roman" w:hAnsi="Times New Roman"/>
          <w:b/>
          <w:sz w:val="24"/>
          <w:szCs w:val="24"/>
        </w:rPr>
      </w:pPr>
      <w:r w:rsidRPr="00DB04ED">
        <w:rPr>
          <w:rFonts w:ascii="Times New Roman" w:hAnsi="Times New Roman"/>
          <w:b/>
          <w:sz w:val="24"/>
          <w:szCs w:val="24"/>
        </w:rPr>
        <w:t>iepirkuma komisijas sēdes protokols</w:t>
      </w:r>
    </w:p>
    <w:p w14:paraId="7F7D2AF2" w14:textId="77777777" w:rsidR="009B71F1" w:rsidRPr="00DB04ED" w:rsidRDefault="009B71F1" w:rsidP="00591636">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DB04ED" w14:paraId="47FE2F86" w14:textId="77777777" w:rsidTr="00F4449C">
        <w:tc>
          <w:tcPr>
            <w:tcW w:w="7621" w:type="dxa"/>
            <w:gridSpan w:val="2"/>
          </w:tcPr>
          <w:p w14:paraId="7FE5904E" w14:textId="444D5435" w:rsidR="00E511A2" w:rsidRPr="00DB04ED" w:rsidRDefault="00E34FE4" w:rsidP="00591636">
            <w:pPr>
              <w:jc w:val="both"/>
              <w:rPr>
                <w:b/>
                <w:sz w:val="24"/>
                <w:szCs w:val="24"/>
              </w:rPr>
            </w:pPr>
            <w:r w:rsidRPr="00DB04ED">
              <w:rPr>
                <w:b/>
                <w:sz w:val="24"/>
                <w:szCs w:val="24"/>
              </w:rPr>
              <w:t>201</w:t>
            </w:r>
            <w:r w:rsidR="00625D63">
              <w:rPr>
                <w:b/>
                <w:sz w:val="24"/>
                <w:szCs w:val="24"/>
              </w:rPr>
              <w:t>9</w:t>
            </w:r>
            <w:r w:rsidR="003C3409" w:rsidRPr="00DB04ED">
              <w:rPr>
                <w:b/>
                <w:sz w:val="24"/>
                <w:szCs w:val="24"/>
              </w:rPr>
              <w:t xml:space="preserve">.gada </w:t>
            </w:r>
            <w:r w:rsidR="00625D63">
              <w:rPr>
                <w:b/>
                <w:sz w:val="24"/>
                <w:szCs w:val="24"/>
              </w:rPr>
              <w:t>8.janvārī</w:t>
            </w:r>
          </w:p>
          <w:p w14:paraId="24DDED0F" w14:textId="77777777" w:rsidR="009B71F1" w:rsidRPr="00DB04ED" w:rsidRDefault="009B71F1" w:rsidP="00591636">
            <w:pPr>
              <w:jc w:val="both"/>
              <w:rPr>
                <w:b/>
                <w:sz w:val="24"/>
                <w:szCs w:val="24"/>
              </w:rPr>
            </w:pPr>
          </w:p>
        </w:tc>
        <w:tc>
          <w:tcPr>
            <w:tcW w:w="1877" w:type="dxa"/>
          </w:tcPr>
          <w:p w14:paraId="70DC2180" w14:textId="6BB1BAEE" w:rsidR="00E511A2" w:rsidRPr="00DB04ED" w:rsidRDefault="00E34FE4" w:rsidP="00591636">
            <w:pPr>
              <w:rPr>
                <w:b/>
                <w:sz w:val="24"/>
                <w:szCs w:val="24"/>
              </w:rPr>
            </w:pPr>
            <w:r w:rsidRPr="00DB04ED">
              <w:rPr>
                <w:b/>
                <w:sz w:val="24"/>
                <w:szCs w:val="24"/>
              </w:rPr>
              <w:t>Nr.</w:t>
            </w:r>
            <w:r w:rsidR="00625D63">
              <w:rPr>
                <w:b/>
                <w:sz w:val="24"/>
                <w:szCs w:val="24"/>
              </w:rPr>
              <w:t>1</w:t>
            </w:r>
          </w:p>
        </w:tc>
      </w:tr>
      <w:tr w:rsidR="00A35232" w:rsidRPr="00DB04ED" w14:paraId="3394B09E" w14:textId="77777777" w:rsidTr="00F4449C">
        <w:tc>
          <w:tcPr>
            <w:tcW w:w="4361" w:type="dxa"/>
          </w:tcPr>
          <w:p w14:paraId="7D72039D" w14:textId="6ED20333" w:rsidR="00A35232" w:rsidRPr="00DB04ED" w:rsidRDefault="00A35232" w:rsidP="00591636">
            <w:pPr>
              <w:ind w:left="-113"/>
              <w:rPr>
                <w:sz w:val="24"/>
                <w:szCs w:val="24"/>
              </w:rPr>
            </w:pPr>
            <w:r w:rsidRPr="00DB04ED">
              <w:rPr>
                <w:sz w:val="24"/>
                <w:szCs w:val="24"/>
              </w:rPr>
              <w:t xml:space="preserve">Sēdi vada iepirkuma komisijas </w:t>
            </w:r>
            <w:r w:rsidR="003C3409" w:rsidRPr="00DB04ED">
              <w:rPr>
                <w:sz w:val="24"/>
                <w:szCs w:val="24"/>
              </w:rPr>
              <w:t>priekšsēdētājs</w:t>
            </w:r>
            <w:r w:rsidRPr="00DB04ED">
              <w:rPr>
                <w:sz w:val="24"/>
                <w:szCs w:val="24"/>
              </w:rPr>
              <w:t>:</w:t>
            </w:r>
          </w:p>
        </w:tc>
        <w:tc>
          <w:tcPr>
            <w:tcW w:w="5137" w:type="dxa"/>
            <w:gridSpan w:val="2"/>
          </w:tcPr>
          <w:p w14:paraId="09D1A0AF" w14:textId="77777777" w:rsidR="003C3409" w:rsidRPr="00DB04ED" w:rsidRDefault="003C3409" w:rsidP="00591636">
            <w:pPr>
              <w:pStyle w:val="Heading4"/>
              <w:spacing w:before="0" w:after="0"/>
              <w:ind w:right="0"/>
              <w:rPr>
                <w:szCs w:val="24"/>
              </w:rPr>
            </w:pPr>
          </w:p>
          <w:p w14:paraId="1A01995F" w14:textId="19596EEA" w:rsidR="004B6623" w:rsidRPr="00DB04ED" w:rsidRDefault="003C3409" w:rsidP="00591636">
            <w:pPr>
              <w:pStyle w:val="Heading4"/>
              <w:spacing w:before="0" w:after="0"/>
              <w:ind w:right="0"/>
              <w:rPr>
                <w:szCs w:val="24"/>
              </w:rPr>
            </w:pPr>
            <w:r w:rsidRPr="00DB04ED">
              <w:rPr>
                <w:szCs w:val="24"/>
              </w:rPr>
              <w:t>Ģ.Freibergs</w:t>
            </w:r>
          </w:p>
          <w:p w14:paraId="4A658463" w14:textId="77777777" w:rsidR="00A35232" w:rsidRPr="00DB04ED" w:rsidRDefault="00A35232" w:rsidP="00591636">
            <w:pPr>
              <w:pStyle w:val="Heading4"/>
              <w:spacing w:before="0" w:after="0"/>
              <w:ind w:right="0"/>
              <w:rPr>
                <w:szCs w:val="24"/>
              </w:rPr>
            </w:pPr>
          </w:p>
        </w:tc>
      </w:tr>
      <w:tr w:rsidR="00A35232" w:rsidRPr="00DB04ED" w14:paraId="56D0F14C" w14:textId="77777777" w:rsidTr="00F4449C">
        <w:tc>
          <w:tcPr>
            <w:tcW w:w="4361" w:type="dxa"/>
          </w:tcPr>
          <w:p w14:paraId="6A487164" w14:textId="77777777" w:rsidR="00A35232" w:rsidRPr="00DB04ED" w:rsidRDefault="00A35232" w:rsidP="00591636">
            <w:pPr>
              <w:ind w:left="-113"/>
              <w:rPr>
                <w:sz w:val="24"/>
                <w:szCs w:val="24"/>
              </w:rPr>
            </w:pPr>
            <w:r w:rsidRPr="00DB04ED">
              <w:rPr>
                <w:sz w:val="24"/>
                <w:szCs w:val="24"/>
              </w:rPr>
              <w:t>Sēdē piedalās iepirkuma komisijas locekļi:</w:t>
            </w:r>
          </w:p>
        </w:tc>
        <w:tc>
          <w:tcPr>
            <w:tcW w:w="5137" w:type="dxa"/>
            <w:gridSpan w:val="2"/>
          </w:tcPr>
          <w:p w14:paraId="7832FAEB" w14:textId="48F41065" w:rsidR="00A35232" w:rsidRPr="00DB04ED" w:rsidRDefault="00167ACF" w:rsidP="00591636">
            <w:pPr>
              <w:pStyle w:val="Heading8"/>
              <w:spacing w:before="0" w:after="0"/>
              <w:ind w:right="0"/>
              <w:rPr>
                <w:i w:val="0"/>
                <w:szCs w:val="24"/>
              </w:rPr>
            </w:pPr>
            <w:r w:rsidRPr="00DB04ED">
              <w:rPr>
                <w:i w:val="0"/>
                <w:szCs w:val="24"/>
              </w:rPr>
              <w:t xml:space="preserve">I.Purmale, </w:t>
            </w:r>
            <w:r w:rsidR="00BA5B86" w:rsidRPr="00DB04ED">
              <w:rPr>
                <w:i w:val="0"/>
                <w:szCs w:val="24"/>
              </w:rPr>
              <w:t>S.Balcars</w:t>
            </w:r>
            <w:r w:rsidR="00D015A4">
              <w:rPr>
                <w:i w:val="0"/>
                <w:szCs w:val="24"/>
              </w:rPr>
              <w:t>, K.Timpars</w:t>
            </w:r>
          </w:p>
        </w:tc>
      </w:tr>
      <w:tr w:rsidR="00167ACF" w:rsidRPr="00DB04ED" w14:paraId="4ACB187B" w14:textId="77777777" w:rsidTr="00F4449C">
        <w:tc>
          <w:tcPr>
            <w:tcW w:w="4361" w:type="dxa"/>
          </w:tcPr>
          <w:p w14:paraId="28C5C80D" w14:textId="77777777" w:rsidR="00167ACF" w:rsidRPr="00DB04ED" w:rsidRDefault="00167ACF" w:rsidP="00591636">
            <w:pPr>
              <w:ind w:left="-113"/>
              <w:rPr>
                <w:sz w:val="24"/>
                <w:szCs w:val="24"/>
              </w:rPr>
            </w:pPr>
          </w:p>
          <w:p w14:paraId="46987396" w14:textId="77777777" w:rsidR="00167ACF" w:rsidRPr="00DB04ED" w:rsidRDefault="00167ACF" w:rsidP="00591636">
            <w:pPr>
              <w:ind w:left="-113"/>
              <w:rPr>
                <w:sz w:val="24"/>
                <w:szCs w:val="24"/>
              </w:rPr>
            </w:pPr>
            <w:r w:rsidRPr="00DB04ED">
              <w:rPr>
                <w:sz w:val="24"/>
                <w:szCs w:val="24"/>
              </w:rPr>
              <w:t>Iepirkuma komisijas sēdi protokolē</w:t>
            </w:r>
          </w:p>
          <w:p w14:paraId="61972BAA" w14:textId="77777777" w:rsidR="00167ACF" w:rsidRPr="00DB04ED" w:rsidRDefault="00167ACF" w:rsidP="00591636">
            <w:pPr>
              <w:ind w:left="-113"/>
              <w:rPr>
                <w:sz w:val="24"/>
                <w:szCs w:val="24"/>
              </w:rPr>
            </w:pPr>
            <w:r w:rsidRPr="00DB04ED">
              <w:rPr>
                <w:sz w:val="24"/>
                <w:szCs w:val="24"/>
              </w:rPr>
              <w:t>iepirkuma komisijas locekle:</w:t>
            </w:r>
          </w:p>
        </w:tc>
        <w:tc>
          <w:tcPr>
            <w:tcW w:w="5137" w:type="dxa"/>
            <w:gridSpan w:val="2"/>
          </w:tcPr>
          <w:p w14:paraId="7F73015B" w14:textId="77777777" w:rsidR="00167ACF" w:rsidRPr="00DB04ED" w:rsidRDefault="00167ACF" w:rsidP="00591636">
            <w:pPr>
              <w:pStyle w:val="Heading8"/>
              <w:spacing w:before="0" w:after="0"/>
              <w:ind w:right="0"/>
              <w:rPr>
                <w:i w:val="0"/>
                <w:szCs w:val="24"/>
              </w:rPr>
            </w:pPr>
          </w:p>
          <w:p w14:paraId="7A07EFC6" w14:textId="77777777" w:rsidR="00167ACF" w:rsidRPr="00DB04ED" w:rsidRDefault="00167ACF" w:rsidP="00591636">
            <w:pPr>
              <w:pStyle w:val="Heading8"/>
              <w:spacing w:before="0" w:after="0"/>
              <w:ind w:right="0"/>
              <w:rPr>
                <w:i w:val="0"/>
                <w:szCs w:val="24"/>
              </w:rPr>
            </w:pPr>
          </w:p>
          <w:p w14:paraId="1D86788A" w14:textId="77777777" w:rsidR="00167ACF" w:rsidRPr="00DB04ED" w:rsidRDefault="00167ACF" w:rsidP="00591636">
            <w:pPr>
              <w:pStyle w:val="Heading8"/>
              <w:spacing w:before="0" w:after="0"/>
              <w:ind w:right="0"/>
              <w:rPr>
                <w:i w:val="0"/>
                <w:szCs w:val="24"/>
              </w:rPr>
            </w:pPr>
            <w:r w:rsidRPr="00DB04ED">
              <w:rPr>
                <w:i w:val="0"/>
                <w:szCs w:val="24"/>
              </w:rPr>
              <w:t>I.Purmale</w:t>
            </w:r>
          </w:p>
        </w:tc>
      </w:tr>
      <w:tr w:rsidR="00C24204" w:rsidRPr="00DB04ED" w14:paraId="398B0F43" w14:textId="77777777" w:rsidTr="00F4449C">
        <w:tc>
          <w:tcPr>
            <w:tcW w:w="4361" w:type="dxa"/>
          </w:tcPr>
          <w:p w14:paraId="6C76F20F" w14:textId="77777777" w:rsidR="00C24204" w:rsidRPr="00DB04ED" w:rsidRDefault="00C24204" w:rsidP="00591636">
            <w:pPr>
              <w:rPr>
                <w:sz w:val="24"/>
                <w:szCs w:val="24"/>
              </w:rPr>
            </w:pPr>
          </w:p>
        </w:tc>
        <w:tc>
          <w:tcPr>
            <w:tcW w:w="5137" w:type="dxa"/>
            <w:gridSpan w:val="2"/>
          </w:tcPr>
          <w:p w14:paraId="2A311F50" w14:textId="77777777" w:rsidR="00C24204" w:rsidRPr="00DB04ED" w:rsidRDefault="00C24204" w:rsidP="00591636">
            <w:pPr>
              <w:pStyle w:val="Heading8"/>
              <w:spacing w:before="0" w:after="0"/>
              <w:ind w:right="0"/>
              <w:rPr>
                <w:i w:val="0"/>
                <w:szCs w:val="24"/>
              </w:rPr>
            </w:pPr>
          </w:p>
        </w:tc>
      </w:tr>
    </w:tbl>
    <w:p w14:paraId="26D556F5" w14:textId="77777777" w:rsidR="00E511A2" w:rsidRPr="00DB04ED" w:rsidRDefault="00E511A2" w:rsidP="00591636">
      <w:pPr>
        <w:rPr>
          <w:sz w:val="24"/>
          <w:szCs w:val="24"/>
        </w:rPr>
      </w:pPr>
      <w:r w:rsidRPr="00DB04ED">
        <w:rPr>
          <w:sz w:val="24"/>
          <w:szCs w:val="24"/>
        </w:rPr>
        <w:t>Sēde notiek Rīgā, K.Valdemāra ielā 31.</w:t>
      </w:r>
    </w:p>
    <w:p w14:paraId="6175B1C5" w14:textId="77777777" w:rsidR="00E511A2" w:rsidRPr="00DB04ED" w:rsidRDefault="00E511A2" w:rsidP="00591636">
      <w:pPr>
        <w:rPr>
          <w:sz w:val="24"/>
          <w:szCs w:val="24"/>
        </w:rPr>
      </w:pPr>
      <w:r w:rsidRPr="00DB04ED">
        <w:rPr>
          <w:sz w:val="24"/>
          <w:szCs w:val="24"/>
        </w:rPr>
        <w:t>Sēde ir atklāta.</w:t>
      </w:r>
    </w:p>
    <w:p w14:paraId="7B31B851" w14:textId="3F9F7AEC" w:rsidR="00E511A2" w:rsidRPr="00DB04ED" w:rsidRDefault="00E511A2" w:rsidP="00591636">
      <w:pPr>
        <w:rPr>
          <w:sz w:val="24"/>
          <w:szCs w:val="24"/>
        </w:rPr>
      </w:pPr>
      <w:r w:rsidRPr="00DB04ED">
        <w:rPr>
          <w:sz w:val="24"/>
          <w:szCs w:val="24"/>
        </w:rPr>
        <w:t xml:space="preserve">Sēde sākas plkst. </w:t>
      </w:r>
      <w:r w:rsidR="00625D63">
        <w:rPr>
          <w:sz w:val="24"/>
          <w:szCs w:val="24"/>
        </w:rPr>
        <w:t>9</w:t>
      </w:r>
      <w:r w:rsidR="00BA5B86" w:rsidRPr="00DB04ED">
        <w:rPr>
          <w:sz w:val="24"/>
          <w:szCs w:val="24"/>
        </w:rPr>
        <w:t>.00</w:t>
      </w:r>
      <w:r w:rsidR="003A0433" w:rsidRPr="00DB04ED">
        <w:rPr>
          <w:sz w:val="24"/>
          <w:szCs w:val="24"/>
        </w:rPr>
        <w:t>.</w:t>
      </w:r>
    </w:p>
    <w:p w14:paraId="3D78EEE4" w14:textId="77777777" w:rsidR="00E511A2" w:rsidRPr="00DB04ED" w:rsidRDefault="00E511A2" w:rsidP="00591636">
      <w:pPr>
        <w:rPr>
          <w:b/>
          <w:sz w:val="24"/>
          <w:szCs w:val="24"/>
        </w:rPr>
      </w:pPr>
    </w:p>
    <w:p w14:paraId="63717738" w14:textId="77777777" w:rsidR="00E511A2" w:rsidRPr="00DB04ED" w:rsidRDefault="00E511A2" w:rsidP="00591636">
      <w:pPr>
        <w:rPr>
          <w:b/>
          <w:sz w:val="24"/>
          <w:szCs w:val="24"/>
        </w:rPr>
      </w:pPr>
      <w:r w:rsidRPr="00DB04ED">
        <w:rPr>
          <w:b/>
          <w:sz w:val="24"/>
          <w:szCs w:val="24"/>
        </w:rPr>
        <w:t>Iepirkuma komisijas sēdes organizatoriskie jautājumi:</w:t>
      </w:r>
    </w:p>
    <w:p w14:paraId="12F789BF" w14:textId="2C6C2466" w:rsidR="00E511A2" w:rsidRPr="00DB04ED" w:rsidRDefault="007A7999"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 xml:space="preserve">Iepirkuma komisijas sēdes vadītājs konstatē, ka sēdē piedalās </w:t>
      </w:r>
      <w:r w:rsidR="00D015A4">
        <w:rPr>
          <w:rFonts w:ascii="Times New Roman" w:hAnsi="Times New Roman"/>
          <w:sz w:val="24"/>
          <w:szCs w:val="24"/>
        </w:rPr>
        <w:t>četri</w:t>
      </w:r>
      <w:r w:rsidR="004C7826" w:rsidRPr="00DB04ED">
        <w:rPr>
          <w:rFonts w:ascii="Times New Roman" w:hAnsi="Times New Roman"/>
          <w:sz w:val="24"/>
          <w:szCs w:val="24"/>
        </w:rPr>
        <w:t xml:space="preserve"> </w:t>
      </w:r>
      <w:r w:rsidRPr="00DB04ED">
        <w:rPr>
          <w:rFonts w:ascii="Times New Roman" w:hAnsi="Times New Roman"/>
          <w:sz w:val="24"/>
          <w:szCs w:val="24"/>
        </w:rPr>
        <w:t>komisijas locekļi, un iepirkuma komisija šajā sēdē ir lemttiesīga</w:t>
      </w:r>
      <w:r w:rsidR="00E511A2" w:rsidRPr="00DB04ED">
        <w:rPr>
          <w:rFonts w:ascii="Times New Roman" w:hAnsi="Times New Roman"/>
          <w:sz w:val="24"/>
          <w:szCs w:val="24"/>
        </w:rPr>
        <w:t>.</w:t>
      </w:r>
    </w:p>
    <w:p w14:paraId="3D6C152A" w14:textId="77777777" w:rsidR="009B71F1" w:rsidRPr="00DB04ED" w:rsidRDefault="009B71F1" w:rsidP="00591636">
      <w:pPr>
        <w:pStyle w:val="Header"/>
        <w:tabs>
          <w:tab w:val="left" w:pos="720"/>
        </w:tabs>
        <w:jc w:val="both"/>
        <w:rPr>
          <w:rFonts w:ascii="Times New Roman" w:hAnsi="Times New Roman"/>
          <w:sz w:val="24"/>
          <w:szCs w:val="24"/>
        </w:rPr>
      </w:pPr>
    </w:p>
    <w:p w14:paraId="7674CF9C" w14:textId="77777777" w:rsidR="00E511A2" w:rsidRPr="00DB04ED" w:rsidRDefault="00E511A2"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Iepirkuma komisija nolemj apstiprināt šādu darba kārtību:</w:t>
      </w:r>
    </w:p>
    <w:p w14:paraId="7A4D8E54" w14:textId="77777777" w:rsidR="00963785" w:rsidRPr="00DB04ED" w:rsidRDefault="00963785" w:rsidP="00591636">
      <w:pPr>
        <w:pStyle w:val="BodyText2"/>
        <w:rPr>
          <w:rFonts w:ascii="Times New Roman" w:hAnsi="Times New Roman"/>
          <w:szCs w:val="24"/>
        </w:rPr>
      </w:pPr>
      <w:bookmarkStart w:id="1" w:name="id21000691"/>
      <w:bookmarkStart w:id="2" w:name="id21000244"/>
    </w:p>
    <w:bookmarkEnd w:id="1"/>
    <w:p w14:paraId="3326B56D" w14:textId="5EB4D641" w:rsidR="00D015A4" w:rsidRDefault="00625D63" w:rsidP="00591636">
      <w:pPr>
        <w:pStyle w:val="BodyText2"/>
        <w:ind w:firstLine="709"/>
        <w:rPr>
          <w:rFonts w:ascii="Times New Roman" w:hAnsi="Times New Roman"/>
          <w:szCs w:val="24"/>
        </w:rPr>
      </w:pPr>
      <w:r>
        <w:rPr>
          <w:rFonts w:ascii="Times New Roman" w:hAnsi="Times New Roman"/>
          <w:szCs w:val="24"/>
        </w:rPr>
        <w:t>1</w:t>
      </w:r>
      <w:r w:rsidR="00D015A4">
        <w:rPr>
          <w:rFonts w:ascii="Times New Roman" w:hAnsi="Times New Roman"/>
          <w:szCs w:val="24"/>
        </w:rPr>
        <w:t xml:space="preserve">. </w:t>
      </w:r>
      <w:bookmarkStart w:id="3" w:name="id21000782"/>
      <w:r>
        <w:t xml:space="preserve">Par mazajam iepirkumam “Vispārīgā </w:t>
      </w:r>
      <w:bookmarkEnd w:id="3"/>
      <w:r>
        <w:t>vienošanās nekustamo īpašumu tirgus (parastās) vērtības noteikšanas pakalpojumiem” (PA/2018/71) iesniegto piedāvājumu vērtēšanu un iepirkuma rezultāta apstiprināšanu</w:t>
      </w:r>
      <w:r w:rsidR="00D015A4">
        <w:rPr>
          <w:rFonts w:ascii="Times New Roman" w:hAnsi="Times New Roman"/>
          <w:szCs w:val="24"/>
        </w:rPr>
        <w:t>.</w:t>
      </w:r>
    </w:p>
    <w:p w14:paraId="05595A09" w14:textId="27679F4B" w:rsidR="00D015A4" w:rsidRDefault="00D015A4" w:rsidP="00591636">
      <w:pPr>
        <w:pStyle w:val="BodyText2"/>
        <w:ind w:firstLine="709"/>
        <w:rPr>
          <w:rFonts w:ascii="Times New Roman" w:hAnsi="Times New Roman"/>
          <w:szCs w:val="24"/>
        </w:rPr>
      </w:pPr>
      <w:r w:rsidRPr="00DB04ED">
        <w:rPr>
          <w:rFonts w:ascii="Times New Roman" w:hAnsi="Times New Roman"/>
          <w:szCs w:val="24"/>
        </w:rPr>
        <w:t xml:space="preserve">Ziņo: </w:t>
      </w:r>
      <w:r w:rsidR="009B5638">
        <w:rPr>
          <w:rFonts w:ascii="Times New Roman" w:hAnsi="Times New Roman"/>
          <w:szCs w:val="24"/>
        </w:rPr>
        <w:t>I.Purmale</w:t>
      </w:r>
    </w:p>
    <w:p w14:paraId="311239BC" w14:textId="3FE4CB5E" w:rsidR="003F0A1C" w:rsidRPr="00DB04ED" w:rsidRDefault="004C7826" w:rsidP="00591636">
      <w:pPr>
        <w:pStyle w:val="BodyText2"/>
        <w:ind w:firstLine="720"/>
        <w:rPr>
          <w:rFonts w:ascii="Times New Roman" w:hAnsi="Times New Roman"/>
          <w:szCs w:val="24"/>
        </w:rPr>
      </w:pPr>
      <w:r w:rsidRPr="00DB04ED">
        <w:rPr>
          <w:rFonts w:ascii="Times New Roman" w:hAnsi="Times New Roman"/>
          <w:szCs w:val="24"/>
        </w:rPr>
        <w:t>Par:</w:t>
      </w:r>
      <w:r w:rsidRPr="00DB04ED">
        <w:rPr>
          <w:rFonts w:ascii="Times New Roman" w:hAnsi="Times New Roman"/>
          <w:szCs w:val="24"/>
        </w:rPr>
        <w:tab/>
      </w:r>
      <w:r w:rsidR="003C3409" w:rsidRPr="00DB04ED">
        <w:rPr>
          <w:rFonts w:ascii="Times New Roman" w:hAnsi="Times New Roman"/>
          <w:szCs w:val="24"/>
        </w:rPr>
        <w:t xml:space="preserve">Ģ.Freibergs, </w:t>
      </w:r>
      <w:r w:rsidR="00167ACF" w:rsidRPr="00DB04ED">
        <w:rPr>
          <w:rFonts w:ascii="Times New Roman" w:hAnsi="Times New Roman"/>
          <w:szCs w:val="24"/>
        </w:rPr>
        <w:t xml:space="preserve">I.Purmale, </w:t>
      </w:r>
      <w:r w:rsidR="00BA5B86" w:rsidRPr="00DB04ED">
        <w:rPr>
          <w:rFonts w:ascii="Times New Roman" w:hAnsi="Times New Roman"/>
          <w:szCs w:val="24"/>
        </w:rPr>
        <w:t>S.Balcars</w:t>
      </w:r>
      <w:r w:rsidR="00D015A4">
        <w:rPr>
          <w:rFonts w:ascii="Times New Roman" w:hAnsi="Times New Roman"/>
          <w:szCs w:val="24"/>
        </w:rPr>
        <w:t>, K.Timpars</w:t>
      </w:r>
    </w:p>
    <w:p w14:paraId="233DA15D" w14:textId="77777777" w:rsidR="003F0A1C" w:rsidRPr="00DB04ED" w:rsidRDefault="003F0A1C" w:rsidP="00591636">
      <w:pPr>
        <w:keepLines/>
        <w:tabs>
          <w:tab w:val="left" w:pos="709"/>
        </w:tabs>
        <w:rPr>
          <w:sz w:val="24"/>
          <w:szCs w:val="24"/>
        </w:rPr>
      </w:pPr>
      <w:r w:rsidRPr="00DB04ED">
        <w:rPr>
          <w:sz w:val="24"/>
          <w:szCs w:val="24"/>
        </w:rPr>
        <w:tab/>
        <w:t xml:space="preserve">Pret: </w:t>
      </w:r>
      <w:r w:rsidRPr="00DB04ED">
        <w:rPr>
          <w:sz w:val="24"/>
          <w:szCs w:val="24"/>
        </w:rPr>
        <w:tab/>
        <w:t>nav</w:t>
      </w:r>
    </w:p>
    <w:p w14:paraId="0E642BE1" w14:textId="77777777" w:rsidR="003F0A1C" w:rsidRPr="00DB04ED" w:rsidRDefault="003F0A1C" w:rsidP="00591636">
      <w:pPr>
        <w:ind w:firstLine="720"/>
        <w:rPr>
          <w:sz w:val="24"/>
          <w:szCs w:val="24"/>
        </w:rPr>
      </w:pPr>
      <w:r w:rsidRPr="00DB04ED">
        <w:rPr>
          <w:sz w:val="24"/>
          <w:szCs w:val="24"/>
        </w:rPr>
        <w:t>Lēmums pieņemts vienbalsīgi.</w:t>
      </w:r>
    </w:p>
    <w:bookmarkEnd w:id="2"/>
    <w:p w14:paraId="4D2E22C6" w14:textId="7DF8DD38" w:rsidR="00C66672" w:rsidRDefault="00C66672" w:rsidP="00591636">
      <w:pPr>
        <w:pStyle w:val="BodyText2"/>
        <w:ind w:firstLine="720"/>
        <w:rPr>
          <w:rFonts w:ascii="Times New Roman" w:hAnsi="Times New Roman"/>
          <w:szCs w:val="24"/>
        </w:rPr>
      </w:pPr>
    </w:p>
    <w:p w14:paraId="68F381B5" w14:textId="2464B815" w:rsidR="00F4113F" w:rsidRPr="00682253" w:rsidRDefault="00625D63" w:rsidP="00682253">
      <w:pPr>
        <w:pStyle w:val="BodyText2"/>
        <w:ind w:firstLine="709"/>
        <w:rPr>
          <w:rFonts w:ascii="Times New Roman" w:hAnsi="Times New Roman"/>
          <w:szCs w:val="24"/>
        </w:rPr>
      </w:pPr>
      <w:r>
        <w:rPr>
          <w:rFonts w:ascii="Times New Roman" w:hAnsi="Times New Roman"/>
          <w:szCs w:val="24"/>
        </w:rPr>
        <w:t>1</w:t>
      </w:r>
      <w:r w:rsidR="00F4113F" w:rsidRPr="00682253">
        <w:rPr>
          <w:rFonts w:ascii="Times New Roman" w:hAnsi="Times New Roman"/>
          <w:szCs w:val="24"/>
        </w:rPr>
        <w:t xml:space="preserve">. </w:t>
      </w:r>
      <w:r>
        <w:t>Par mazajam iepirkumam “Vispārīgā vienošanās nekustamo īpašumu tirgus (parastās) vērtības noteikšanas pakalpojumiem” (PA/2018/71) iesniegto piedāvājumu vērtēšanu un iepirkuma rezultāta apstiprināšanu</w:t>
      </w:r>
      <w:r w:rsidR="00F4113F" w:rsidRPr="00682253">
        <w:rPr>
          <w:rFonts w:ascii="Times New Roman" w:hAnsi="Times New Roman"/>
          <w:szCs w:val="24"/>
        </w:rPr>
        <w:t>.</w:t>
      </w:r>
    </w:p>
    <w:p w14:paraId="7617DB8D" w14:textId="60C3E1FB" w:rsidR="00C66672" w:rsidRPr="00682253" w:rsidRDefault="00F4113F" w:rsidP="00682253">
      <w:pPr>
        <w:pStyle w:val="BodyText2"/>
        <w:ind w:firstLine="709"/>
        <w:rPr>
          <w:rFonts w:ascii="Times New Roman" w:hAnsi="Times New Roman"/>
          <w:szCs w:val="24"/>
        </w:rPr>
      </w:pPr>
      <w:r w:rsidRPr="00682253">
        <w:rPr>
          <w:rFonts w:ascii="Times New Roman" w:hAnsi="Times New Roman"/>
          <w:szCs w:val="24"/>
        </w:rPr>
        <w:t>Ziņo: I.Purmale</w:t>
      </w:r>
    </w:p>
    <w:p w14:paraId="0C4EA6FD" w14:textId="77777777" w:rsidR="00C66672" w:rsidRPr="00682253" w:rsidRDefault="00C66672" w:rsidP="00682253">
      <w:pPr>
        <w:pStyle w:val="BodyText2"/>
        <w:ind w:firstLine="720"/>
        <w:rPr>
          <w:rFonts w:ascii="Times New Roman" w:hAnsi="Times New Roman"/>
          <w:b/>
          <w:szCs w:val="24"/>
        </w:rPr>
      </w:pPr>
      <w:r w:rsidRPr="00682253">
        <w:rPr>
          <w:rFonts w:ascii="Times New Roman" w:hAnsi="Times New Roman"/>
          <w:b/>
          <w:szCs w:val="24"/>
        </w:rPr>
        <w:t>NOLĒMA:</w:t>
      </w:r>
    </w:p>
    <w:p w14:paraId="3505AE40" w14:textId="4DC3329F" w:rsidR="00F4113F" w:rsidRPr="00682253" w:rsidRDefault="00625D63" w:rsidP="00682253">
      <w:pPr>
        <w:ind w:firstLine="720"/>
        <w:jc w:val="both"/>
        <w:rPr>
          <w:sz w:val="24"/>
          <w:szCs w:val="24"/>
        </w:rPr>
      </w:pPr>
      <w:r>
        <w:rPr>
          <w:sz w:val="24"/>
          <w:szCs w:val="24"/>
        </w:rPr>
        <w:t>1</w:t>
      </w:r>
      <w:r w:rsidR="00F4113F" w:rsidRPr="00682253">
        <w:rPr>
          <w:sz w:val="24"/>
          <w:szCs w:val="24"/>
        </w:rPr>
        <w:t xml:space="preserve">.1. Pieņemt zināšanai, ka mazajam iepirkumam </w:t>
      </w:r>
      <w:r>
        <w:rPr>
          <w:sz w:val="24"/>
        </w:rPr>
        <w:t xml:space="preserve">“Vispārīgā vienošanās nekustamo īpašumu tirgus (parastās) vērtības noteikšanas pakalpojumiem” (PA/2018/71) </w:t>
      </w:r>
      <w:r w:rsidR="00F4113F" w:rsidRPr="00682253">
        <w:rPr>
          <w:sz w:val="24"/>
          <w:szCs w:val="24"/>
        </w:rPr>
        <w:t xml:space="preserve">noteiktā termiņā, t.i., līdz 2018.gada </w:t>
      </w:r>
      <w:r>
        <w:rPr>
          <w:sz w:val="24"/>
          <w:szCs w:val="24"/>
        </w:rPr>
        <w:t>18.decembra</w:t>
      </w:r>
      <w:r w:rsidR="00F4113F" w:rsidRPr="00682253">
        <w:rPr>
          <w:sz w:val="24"/>
          <w:szCs w:val="24"/>
        </w:rPr>
        <w:t xml:space="preserve"> plkst.1</w:t>
      </w:r>
      <w:r>
        <w:rPr>
          <w:sz w:val="24"/>
          <w:szCs w:val="24"/>
        </w:rPr>
        <w:t>4</w:t>
      </w:r>
      <w:r w:rsidR="00F4113F" w:rsidRPr="00682253">
        <w:rPr>
          <w:sz w:val="24"/>
          <w:szCs w:val="24"/>
        </w:rPr>
        <w:t xml:space="preserve">.00 iesniegti </w:t>
      </w:r>
      <w:r>
        <w:rPr>
          <w:sz w:val="24"/>
          <w:szCs w:val="24"/>
        </w:rPr>
        <w:t>astoņi</w:t>
      </w:r>
      <w:r w:rsidR="00F4113F" w:rsidRPr="00682253">
        <w:rPr>
          <w:sz w:val="24"/>
          <w:szCs w:val="24"/>
        </w:rPr>
        <w:t xml:space="preserve"> piedāvājumi</w:t>
      </w:r>
      <w:r>
        <w:rPr>
          <w:sz w:val="24"/>
          <w:szCs w:val="24"/>
        </w:rPr>
        <w:t xml:space="preserve">: </w:t>
      </w:r>
      <w:r w:rsidR="00F4113F" w:rsidRPr="00682253">
        <w:rPr>
          <w:sz w:val="24"/>
          <w:szCs w:val="24"/>
        </w:rPr>
        <w:t xml:space="preserve">  </w:t>
      </w:r>
      <w:r>
        <w:rPr>
          <w:sz w:val="24"/>
          <w:szCs w:val="24"/>
        </w:rPr>
        <w:t>SIA “</w:t>
      </w:r>
      <w:proofErr w:type="spellStart"/>
      <w:r>
        <w:rPr>
          <w:sz w:val="24"/>
          <w:szCs w:val="24"/>
        </w:rPr>
        <w:t>Vindeks</w:t>
      </w:r>
      <w:proofErr w:type="spellEnd"/>
      <w:r>
        <w:rPr>
          <w:sz w:val="24"/>
          <w:szCs w:val="24"/>
        </w:rPr>
        <w:t>”, SIA “Eiroeksperts”, SIA “VCG Ekspertu grupa”, SIA “Interbaltija”, SIA “</w:t>
      </w:r>
      <w:proofErr w:type="spellStart"/>
      <w:r>
        <w:rPr>
          <w:sz w:val="24"/>
          <w:szCs w:val="24"/>
        </w:rPr>
        <w:t>Latio</w:t>
      </w:r>
      <w:proofErr w:type="spellEnd"/>
      <w:r>
        <w:rPr>
          <w:sz w:val="24"/>
          <w:szCs w:val="24"/>
        </w:rPr>
        <w:t>”, SIA “DZIETI”, SIA “ANNO” un SIA “</w:t>
      </w:r>
      <w:proofErr w:type="spellStart"/>
      <w:r>
        <w:rPr>
          <w:sz w:val="24"/>
          <w:szCs w:val="24"/>
        </w:rPr>
        <w:t>Grant</w:t>
      </w:r>
      <w:proofErr w:type="spellEnd"/>
      <w:r>
        <w:rPr>
          <w:sz w:val="24"/>
          <w:szCs w:val="24"/>
        </w:rPr>
        <w:t xml:space="preserve"> </w:t>
      </w:r>
      <w:proofErr w:type="spellStart"/>
      <w:r>
        <w:rPr>
          <w:sz w:val="24"/>
          <w:szCs w:val="24"/>
        </w:rPr>
        <w:t>Thornton</w:t>
      </w:r>
      <w:proofErr w:type="spellEnd"/>
      <w:r>
        <w:rPr>
          <w:sz w:val="24"/>
          <w:szCs w:val="24"/>
        </w:rPr>
        <w:t xml:space="preserve"> </w:t>
      </w:r>
      <w:proofErr w:type="spellStart"/>
      <w:r>
        <w:rPr>
          <w:sz w:val="24"/>
          <w:szCs w:val="24"/>
        </w:rPr>
        <w:t>Baltic</w:t>
      </w:r>
      <w:proofErr w:type="spellEnd"/>
      <w:r>
        <w:rPr>
          <w:sz w:val="24"/>
          <w:szCs w:val="24"/>
        </w:rPr>
        <w:t>”</w:t>
      </w:r>
      <w:r w:rsidR="00F4113F" w:rsidRPr="00682253">
        <w:rPr>
          <w:sz w:val="24"/>
          <w:szCs w:val="24"/>
        </w:rPr>
        <w:t>.</w:t>
      </w:r>
    </w:p>
    <w:p w14:paraId="73D21C1B" w14:textId="7FFE0382" w:rsidR="00F4113F" w:rsidRDefault="00625D63" w:rsidP="00682253">
      <w:pPr>
        <w:ind w:firstLine="720"/>
        <w:jc w:val="both"/>
        <w:rPr>
          <w:rFonts w:eastAsia="SimSun"/>
          <w:sz w:val="24"/>
          <w:szCs w:val="24"/>
        </w:rPr>
      </w:pPr>
      <w:r w:rsidRPr="00625D63">
        <w:rPr>
          <w:sz w:val="24"/>
          <w:szCs w:val="24"/>
        </w:rPr>
        <w:t>1</w:t>
      </w:r>
      <w:r w:rsidR="00F4113F" w:rsidRPr="00625D63">
        <w:rPr>
          <w:sz w:val="24"/>
          <w:szCs w:val="24"/>
        </w:rPr>
        <w:t xml:space="preserve">.2. Pieņemt zināšanai, ka </w:t>
      </w:r>
      <w:r w:rsidRPr="00625D63">
        <w:rPr>
          <w:sz w:val="24"/>
          <w:szCs w:val="24"/>
        </w:rPr>
        <w:t xml:space="preserve">Pretendents SIA “Interbaltija” saskaņā ar nolikuma pretendentiem 6.2.2.apakšpunktā noteikto, nav iesniedzis </w:t>
      </w:r>
      <w:r w:rsidRPr="00625D63">
        <w:rPr>
          <w:rFonts w:eastAsia="SimSun"/>
          <w:sz w:val="24"/>
          <w:szCs w:val="24"/>
        </w:rPr>
        <w:t xml:space="preserve">vismaz divu </w:t>
      </w:r>
      <w:r w:rsidRPr="00625D63">
        <w:rPr>
          <w:sz w:val="24"/>
          <w:szCs w:val="24"/>
        </w:rPr>
        <w:t>sertificētu vērtētāju</w:t>
      </w:r>
      <w:r w:rsidRPr="00625D63">
        <w:rPr>
          <w:rFonts w:eastAsia="SimSun"/>
          <w:sz w:val="24"/>
          <w:szCs w:val="24"/>
        </w:rPr>
        <w:t xml:space="preserve"> spēkā esošus profesionālās kvalifikācijas sertifikātus nekustamā īpašuma novērtēšanai, kas izsniegti Ministru kabineta 2014.gada 23.septembra noteikumos Nr.559 “Prasības nekustamā īpašuma vērtētāja profesionālajai kvalifikācijai un profesionālās kvalifikācijas sertifikāta izsniegšanas kārtība” paredzētajā kārtībā, kā arī pieteikumā nav norādījis vismaz divus </w:t>
      </w:r>
      <w:r w:rsidRPr="00625D63">
        <w:rPr>
          <w:sz w:val="24"/>
          <w:szCs w:val="24"/>
        </w:rPr>
        <w:t>sertificētus vērtētājus</w:t>
      </w:r>
      <w:r w:rsidRPr="00625D63">
        <w:rPr>
          <w:rFonts w:eastAsia="SimSun"/>
          <w:sz w:val="24"/>
          <w:szCs w:val="24"/>
        </w:rPr>
        <w:t>, kuriem ir spēkā esošs profesionālās kvalifikācijas sertifikāts nekustamā īpašuma novērtēšanai.</w:t>
      </w:r>
    </w:p>
    <w:p w14:paraId="4ED99221" w14:textId="6F029412" w:rsidR="00625D63" w:rsidRDefault="00625D63" w:rsidP="00682253">
      <w:pPr>
        <w:ind w:firstLine="720"/>
        <w:jc w:val="both"/>
        <w:rPr>
          <w:sz w:val="24"/>
          <w:szCs w:val="24"/>
        </w:rPr>
      </w:pPr>
      <w:r w:rsidRPr="00625D63">
        <w:rPr>
          <w:sz w:val="24"/>
          <w:szCs w:val="24"/>
        </w:rPr>
        <w:t xml:space="preserve">1.3. Izslēgt </w:t>
      </w:r>
      <w:r>
        <w:rPr>
          <w:rFonts w:eastAsia="SimSun"/>
          <w:sz w:val="24"/>
          <w:szCs w:val="24"/>
        </w:rPr>
        <w:t>p</w:t>
      </w:r>
      <w:r w:rsidRPr="00625D63">
        <w:rPr>
          <w:rFonts w:eastAsia="SimSun"/>
          <w:sz w:val="24"/>
          <w:szCs w:val="24"/>
        </w:rPr>
        <w:t>retenden</w:t>
      </w:r>
      <w:r>
        <w:rPr>
          <w:rFonts w:eastAsia="SimSun"/>
          <w:sz w:val="24"/>
          <w:szCs w:val="24"/>
        </w:rPr>
        <w:t xml:space="preserve">tu </w:t>
      </w:r>
      <w:r w:rsidRPr="00625D63">
        <w:rPr>
          <w:rFonts w:eastAsia="SimSun"/>
          <w:sz w:val="24"/>
          <w:szCs w:val="24"/>
        </w:rPr>
        <w:t xml:space="preserve">SIA “Interbaltija” </w:t>
      </w:r>
      <w:r>
        <w:rPr>
          <w:rFonts w:eastAsia="SimSun"/>
          <w:sz w:val="24"/>
          <w:szCs w:val="24"/>
        </w:rPr>
        <w:t xml:space="preserve"> no turpmākās dalības iepirkumā kā </w:t>
      </w:r>
      <w:r w:rsidRPr="00625D63">
        <w:rPr>
          <w:sz w:val="24"/>
          <w:szCs w:val="24"/>
        </w:rPr>
        <w:t>neatbilst</w:t>
      </w:r>
      <w:r>
        <w:rPr>
          <w:sz w:val="24"/>
          <w:szCs w:val="24"/>
        </w:rPr>
        <w:t>ošu</w:t>
      </w:r>
      <w:r w:rsidRPr="00625D63">
        <w:rPr>
          <w:sz w:val="24"/>
          <w:szCs w:val="24"/>
        </w:rPr>
        <w:t xml:space="preserve"> nolikuma pretendentiem 6.punktā norādītajām pretendenta kvalifikācijas prasībām. </w:t>
      </w:r>
    </w:p>
    <w:p w14:paraId="50F75ACB" w14:textId="438DB8EF" w:rsidR="00625D63" w:rsidRDefault="00625D63" w:rsidP="00682253">
      <w:pPr>
        <w:ind w:firstLine="720"/>
        <w:jc w:val="both"/>
        <w:rPr>
          <w:sz w:val="24"/>
          <w:szCs w:val="24"/>
        </w:rPr>
      </w:pPr>
      <w:r w:rsidRPr="00625D63">
        <w:rPr>
          <w:sz w:val="24"/>
          <w:szCs w:val="24"/>
        </w:rPr>
        <w:t>1.4. Pieņemt zināšanai, ka pretendenti SIA “ANNO” un SIA “</w:t>
      </w:r>
      <w:proofErr w:type="spellStart"/>
      <w:r w:rsidRPr="00625D63">
        <w:rPr>
          <w:sz w:val="24"/>
          <w:szCs w:val="24"/>
        </w:rPr>
        <w:t>Vindeks</w:t>
      </w:r>
      <w:proofErr w:type="spellEnd"/>
      <w:r w:rsidRPr="00625D63">
        <w:rPr>
          <w:sz w:val="24"/>
          <w:szCs w:val="24"/>
        </w:rPr>
        <w:t xml:space="preserve">” ir iesnieguši Latvijas Īpašumu vērtētāju asociācijas izdotas Kompetences sertifikāta nekustamā īpašuma vērtēšanā kopijas, kuru derīguma termiņš bija līdz </w:t>
      </w:r>
      <w:r w:rsidRPr="00625D63">
        <w:rPr>
          <w:bCs/>
          <w:sz w:val="24"/>
          <w:szCs w:val="24"/>
        </w:rPr>
        <w:t xml:space="preserve">2018.gada </w:t>
      </w:r>
      <w:r w:rsidRPr="00625D63">
        <w:rPr>
          <w:bCs/>
          <w:sz w:val="24"/>
          <w:szCs w:val="24"/>
        </w:rPr>
        <w:lastRenderedPageBreak/>
        <w:t>17.decembrim</w:t>
      </w:r>
      <w:r w:rsidRPr="00625D63">
        <w:rPr>
          <w:sz w:val="24"/>
          <w:szCs w:val="24"/>
        </w:rPr>
        <w:t xml:space="preserve">. Latvijas </w:t>
      </w:r>
      <w:r w:rsidRPr="009B0816">
        <w:rPr>
          <w:sz w:val="24"/>
          <w:szCs w:val="24"/>
        </w:rPr>
        <w:t>Īpašumu vērtētāju asociācijas interneta vietnē nav norādīta informācija, ka SIA “ANNO” un SIA “</w:t>
      </w:r>
      <w:proofErr w:type="spellStart"/>
      <w:r w:rsidRPr="009B0816">
        <w:rPr>
          <w:sz w:val="24"/>
          <w:szCs w:val="24"/>
        </w:rPr>
        <w:t>Vindeks</w:t>
      </w:r>
      <w:proofErr w:type="spellEnd"/>
      <w:r w:rsidRPr="009B0816">
        <w:rPr>
          <w:sz w:val="24"/>
          <w:szCs w:val="24"/>
        </w:rPr>
        <w:t xml:space="preserve">” sertifikāti nebūtu pagarināti vai anulēti. Saskaņā ar nolikuma pretendentiem 6.2.1.apakšpunktā noteiktajām kvalifikācijas prasībām Pretendentam ir jābūt </w:t>
      </w:r>
      <w:r w:rsidRPr="009B0816">
        <w:rPr>
          <w:rFonts w:eastAsia="SimSun"/>
          <w:sz w:val="24"/>
          <w:szCs w:val="24"/>
        </w:rPr>
        <w:t xml:space="preserve">spēkā esošam </w:t>
      </w:r>
      <w:r w:rsidRPr="009B0816">
        <w:rPr>
          <w:sz w:val="24"/>
          <w:szCs w:val="24"/>
        </w:rPr>
        <w:t>Latvijas Īpašumu vērtētāju asociācijas izsniegtam Kompetences sertifikātam nekustamā īpašuma vērtēšanā, kas apliecina, ka komersants nodarbina kvalificētus (sertificētus) vērtētājus, tam ir kvalitatīvam darbam nepieciešamās informācijas bāzes, programmatūra, ka komersants vērtēšanu var veikt atbilstoši vērtēšanas standartiem un labākajai vērtēšanas praksei. Iepirkuma komisija lūdza abiem minētajiem pretendentiem</w:t>
      </w:r>
      <w:r w:rsidR="009B0816" w:rsidRPr="009B0816">
        <w:rPr>
          <w:sz w:val="24"/>
          <w:szCs w:val="24"/>
        </w:rPr>
        <w:t xml:space="preserve"> līdz 2019.gada 4.janvāra plkst. 12.00</w:t>
      </w:r>
      <w:r w:rsidRPr="009B0816">
        <w:rPr>
          <w:sz w:val="24"/>
          <w:szCs w:val="24"/>
        </w:rPr>
        <w:t xml:space="preserve"> iesniegt </w:t>
      </w:r>
      <w:r w:rsidR="009B0816" w:rsidRPr="009B0816">
        <w:rPr>
          <w:sz w:val="24"/>
          <w:szCs w:val="24"/>
        </w:rPr>
        <w:t>atjaunoto sertifikātu kopijas. SIA “</w:t>
      </w:r>
      <w:proofErr w:type="spellStart"/>
      <w:r w:rsidR="009B0816" w:rsidRPr="009B0816">
        <w:rPr>
          <w:sz w:val="24"/>
          <w:szCs w:val="24"/>
        </w:rPr>
        <w:t>Vindeks</w:t>
      </w:r>
      <w:proofErr w:type="spellEnd"/>
      <w:r w:rsidR="009B0816" w:rsidRPr="009B0816">
        <w:rPr>
          <w:sz w:val="24"/>
          <w:szCs w:val="24"/>
        </w:rPr>
        <w:t>” 2019.gada 2.janvārī iesniedza Latvijas Īpašumu vērtētāju asociācijas izsniegtu apliecinājumu, ka SIA “</w:t>
      </w:r>
      <w:proofErr w:type="spellStart"/>
      <w:r w:rsidR="009B0816" w:rsidRPr="009B0816">
        <w:rPr>
          <w:sz w:val="24"/>
          <w:szCs w:val="24"/>
        </w:rPr>
        <w:t>Vindeks</w:t>
      </w:r>
      <w:proofErr w:type="spellEnd"/>
      <w:r w:rsidR="009B0816" w:rsidRPr="009B0816">
        <w:rPr>
          <w:sz w:val="24"/>
          <w:szCs w:val="24"/>
        </w:rPr>
        <w:t>” izsniegtais Kompetences sertifikāts Nr.25 2018.gada 20.decembrī ir pagarināts uz 5 (pieciem) gadiem. SIA “ANNO” līdz noteiktajam termiņam nav iesniedzis pagarinātu Latvijas Īpašumu vērtētāju asociācijas izsniegtā Kompetences sertifikāta kopiju vai apliecinājumu, ka SIA “ANNO” izsniegtais Kompetences sertifikāts ir pagarināts.</w:t>
      </w:r>
    </w:p>
    <w:p w14:paraId="2EFC7434" w14:textId="1E6A4288" w:rsidR="009B0816" w:rsidRDefault="009B0816" w:rsidP="00682253">
      <w:pPr>
        <w:ind w:firstLine="720"/>
        <w:jc w:val="both"/>
        <w:rPr>
          <w:sz w:val="24"/>
          <w:szCs w:val="24"/>
        </w:rPr>
      </w:pPr>
      <w:r>
        <w:rPr>
          <w:sz w:val="24"/>
          <w:szCs w:val="24"/>
        </w:rPr>
        <w:t xml:space="preserve">1.5. </w:t>
      </w:r>
      <w:r w:rsidRPr="00625D63">
        <w:rPr>
          <w:sz w:val="24"/>
          <w:szCs w:val="24"/>
        </w:rPr>
        <w:t xml:space="preserve">Izslēgt </w:t>
      </w:r>
      <w:r>
        <w:rPr>
          <w:rFonts w:eastAsia="SimSun"/>
          <w:sz w:val="24"/>
          <w:szCs w:val="24"/>
        </w:rPr>
        <w:t>p</w:t>
      </w:r>
      <w:r w:rsidRPr="00625D63">
        <w:rPr>
          <w:rFonts w:eastAsia="SimSun"/>
          <w:sz w:val="24"/>
          <w:szCs w:val="24"/>
        </w:rPr>
        <w:t>retenden</w:t>
      </w:r>
      <w:r>
        <w:rPr>
          <w:rFonts w:eastAsia="SimSun"/>
          <w:sz w:val="24"/>
          <w:szCs w:val="24"/>
        </w:rPr>
        <w:t xml:space="preserve">tu </w:t>
      </w:r>
      <w:r w:rsidRPr="00625D63">
        <w:rPr>
          <w:rFonts w:eastAsia="SimSun"/>
          <w:sz w:val="24"/>
          <w:szCs w:val="24"/>
        </w:rPr>
        <w:t>SIA “</w:t>
      </w:r>
      <w:r>
        <w:rPr>
          <w:rFonts w:eastAsia="SimSun"/>
          <w:sz w:val="24"/>
          <w:szCs w:val="24"/>
        </w:rPr>
        <w:t>ANNO</w:t>
      </w:r>
      <w:r w:rsidRPr="00625D63">
        <w:rPr>
          <w:rFonts w:eastAsia="SimSun"/>
          <w:sz w:val="24"/>
          <w:szCs w:val="24"/>
        </w:rPr>
        <w:t xml:space="preserve">” </w:t>
      </w:r>
      <w:r>
        <w:rPr>
          <w:rFonts w:eastAsia="SimSun"/>
          <w:sz w:val="24"/>
          <w:szCs w:val="24"/>
        </w:rPr>
        <w:t xml:space="preserve"> no turpmākās dalības iepirkumā kā </w:t>
      </w:r>
      <w:r w:rsidRPr="00625D63">
        <w:rPr>
          <w:sz w:val="24"/>
          <w:szCs w:val="24"/>
        </w:rPr>
        <w:t>neatbilst</w:t>
      </w:r>
      <w:r>
        <w:rPr>
          <w:sz w:val="24"/>
          <w:szCs w:val="24"/>
        </w:rPr>
        <w:t>ošu</w:t>
      </w:r>
      <w:r w:rsidRPr="00625D63">
        <w:rPr>
          <w:sz w:val="24"/>
          <w:szCs w:val="24"/>
        </w:rPr>
        <w:t xml:space="preserve"> nolikuma pretendentiem 6.punktā norādītajām pretendenta kvalifikācijas prasībām.</w:t>
      </w:r>
    </w:p>
    <w:p w14:paraId="6D87103A" w14:textId="078D5BB7" w:rsidR="009B0816" w:rsidRDefault="009B0816" w:rsidP="00682253">
      <w:pPr>
        <w:ind w:firstLine="720"/>
        <w:jc w:val="both"/>
        <w:rPr>
          <w:sz w:val="24"/>
          <w:szCs w:val="24"/>
        </w:rPr>
      </w:pPr>
      <w:r>
        <w:rPr>
          <w:sz w:val="24"/>
          <w:szCs w:val="24"/>
        </w:rPr>
        <w:t>1.6. Atzīt pretendentu SIA “</w:t>
      </w:r>
      <w:proofErr w:type="spellStart"/>
      <w:r>
        <w:rPr>
          <w:sz w:val="24"/>
          <w:szCs w:val="24"/>
        </w:rPr>
        <w:t>Vindeks</w:t>
      </w:r>
      <w:proofErr w:type="spellEnd"/>
      <w:r>
        <w:rPr>
          <w:sz w:val="24"/>
          <w:szCs w:val="24"/>
        </w:rPr>
        <w:t>” un tā iesniegto piedāvājumu un pretendentus SIA “Eiroeksperts”, SIA “VCG Ekspertu grupa”, SIA “</w:t>
      </w:r>
      <w:proofErr w:type="spellStart"/>
      <w:r>
        <w:rPr>
          <w:sz w:val="24"/>
          <w:szCs w:val="24"/>
        </w:rPr>
        <w:t>Latio</w:t>
      </w:r>
      <w:proofErr w:type="spellEnd"/>
      <w:r>
        <w:rPr>
          <w:sz w:val="24"/>
          <w:szCs w:val="24"/>
        </w:rPr>
        <w:t>”, SIA “DZIETI”, un SIA “</w:t>
      </w:r>
      <w:proofErr w:type="spellStart"/>
      <w:r>
        <w:rPr>
          <w:sz w:val="24"/>
          <w:szCs w:val="24"/>
        </w:rPr>
        <w:t>Grant</w:t>
      </w:r>
      <w:proofErr w:type="spellEnd"/>
      <w:r>
        <w:rPr>
          <w:sz w:val="24"/>
          <w:szCs w:val="24"/>
        </w:rPr>
        <w:t xml:space="preserve"> </w:t>
      </w:r>
      <w:proofErr w:type="spellStart"/>
      <w:r>
        <w:rPr>
          <w:sz w:val="24"/>
          <w:szCs w:val="24"/>
        </w:rPr>
        <w:t>Thornton</w:t>
      </w:r>
      <w:proofErr w:type="spellEnd"/>
      <w:r>
        <w:rPr>
          <w:sz w:val="24"/>
          <w:szCs w:val="24"/>
        </w:rPr>
        <w:t xml:space="preserve"> </w:t>
      </w:r>
      <w:proofErr w:type="spellStart"/>
      <w:r>
        <w:rPr>
          <w:sz w:val="24"/>
          <w:szCs w:val="24"/>
        </w:rPr>
        <w:t>Baltic</w:t>
      </w:r>
      <w:proofErr w:type="spellEnd"/>
      <w:r>
        <w:rPr>
          <w:sz w:val="24"/>
          <w:szCs w:val="24"/>
        </w:rPr>
        <w:t>” un to iesniegtos piedāvājumus par atbilstošiem nolikumā pretendentiem izvirzītajām prasībām</w:t>
      </w:r>
      <w:r w:rsidRPr="00682253">
        <w:rPr>
          <w:sz w:val="24"/>
          <w:szCs w:val="24"/>
        </w:rPr>
        <w:t>.</w:t>
      </w:r>
    </w:p>
    <w:p w14:paraId="26F5A81C" w14:textId="70FA9DD4" w:rsidR="009B0816" w:rsidRDefault="009B0816" w:rsidP="009B0816">
      <w:pPr>
        <w:ind w:firstLine="720"/>
        <w:jc w:val="both"/>
        <w:rPr>
          <w:sz w:val="24"/>
          <w:szCs w:val="24"/>
        </w:rPr>
      </w:pPr>
      <w:r>
        <w:rPr>
          <w:sz w:val="24"/>
          <w:szCs w:val="24"/>
        </w:rPr>
        <w:t xml:space="preserve">1.7. </w:t>
      </w:r>
      <w:r w:rsidRPr="00EE33FD">
        <w:rPr>
          <w:sz w:val="24"/>
          <w:szCs w:val="24"/>
        </w:rPr>
        <w:t xml:space="preserve">Saskaņā ar iesniegtajiem piedāvājumiem, </w:t>
      </w:r>
      <w:bookmarkStart w:id="4" w:name="_Hlk534318499"/>
      <w:r w:rsidRPr="00262E37">
        <w:rPr>
          <w:sz w:val="24"/>
          <w:szCs w:val="24"/>
          <w:u w:val="single"/>
        </w:rPr>
        <w:t>vispārīgās vienošanās slēgšanas tiesības</w:t>
      </w:r>
      <w:r w:rsidRPr="00EE33FD">
        <w:rPr>
          <w:sz w:val="24"/>
          <w:szCs w:val="24"/>
        </w:rPr>
        <w:t xml:space="preserve"> par nekustamo īpašumu tirgus (parastās) vērtības noteikšanu </w:t>
      </w:r>
      <w:r>
        <w:rPr>
          <w:sz w:val="24"/>
          <w:szCs w:val="24"/>
        </w:rPr>
        <w:t>piešķirt</w:t>
      </w:r>
      <w:r w:rsidRPr="00EE33FD">
        <w:rPr>
          <w:sz w:val="24"/>
          <w:szCs w:val="24"/>
        </w:rPr>
        <w:t xml:space="preserve"> </w:t>
      </w:r>
      <w:r>
        <w:rPr>
          <w:sz w:val="24"/>
          <w:szCs w:val="24"/>
        </w:rPr>
        <w:t xml:space="preserve">sekojošiem 5 (pieciem) pretendentiem, kuri iesnieguši saimnieciski izdevīgākos piedāvājumus par </w:t>
      </w:r>
      <w:r>
        <w:rPr>
          <w:color w:val="000000" w:themeColor="text1"/>
          <w:sz w:val="24"/>
          <w:szCs w:val="24"/>
        </w:rPr>
        <w:t xml:space="preserve">Tehniskās specifikācijas 1. un 2.daļā </w:t>
      </w:r>
      <w:r>
        <w:rPr>
          <w:sz w:val="24"/>
          <w:szCs w:val="24"/>
        </w:rPr>
        <w:t>norādīto nekustamo īpašumu tirgus (parastās) vērtības noteikšanu ar zemāko kopējo līgumcenu:</w:t>
      </w:r>
    </w:p>
    <w:tbl>
      <w:tblPr>
        <w:tblStyle w:val="TableGrid"/>
        <w:tblW w:w="7481" w:type="dxa"/>
        <w:jc w:val="center"/>
        <w:tblLayout w:type="fixed"/>
        <w:tblLook w:val="04A0" w:firstRow="1" w:lastRow="0" w:firstColumn="1" w:lastColumn="0" w:noHBand="0" w:noVBand="1"/>
      </w:tblPr>
      <w:tblGrid>
        <w:gridCol w:w="562"/>
        <w:gridCol w:w="4084"/>
        <w:gridCol w:w="2835"/>
      </w:tblGrid>
      <w:tr w:rsidR="009B0816" w:rsidRPr="00426F88" w14:paraId="7DF5CB6D" w14:textId="77777777" w:rsidTr="00235AFC">
        <w:trPr>
          <w:jc w:val="center"/>
        </w:trPr>
        <w:tc>
          <w:tcPr>
            <w:tcW w:w="562" w:type="dxa"/>
            <w:vAlign w:val="center"/>
          </w:tcPr>
          <w:p w14:paraId="393EEEC6" w14:textId="77777777" w:rsidR="009B0816" w:rsidRDefault="009B0816" w:rsidP="00235AFC">
            <w:pPr>
              <w:jc w:val="center"/>
              <w:rPr>
                <w:b/>
                <w:sz w:val="24"/>
                <w:szCs w:val="24"/>
              </w:rPr>
            </w:pPr>
          </w:p>
          <w:p w14:paraId="3E5AE909" w14:textId="77777777" w:rsidR="009B0816" w:rsidRPr="00615097" w:rsidRDefault="009B0816" w:rsidP="00235AFC">
            <w:pPr>
              <w:jc w:val="center"/>
              <w:rPr>
                <w:b/>
                <w:sz w:val="24"/>
                <w:szCs w:val="24"/>
              </w:rPr>
            </w:pPr>
            <w:r>
              <w:rPr>
                <w:b/>
                <w:sz w:val="24"/>
                <w:szCs w:val="24"/>
              </w:rPr>
              <w:t>Nr.</w:t>
            </w:r>
          </w:p>
        </w:tc>
        <w:tc>
          <w:tcPr>
            <w:tcW w:w="4084" w:type="dxa"/>
            <w:vAlign w:val="center"/>
          </w:tcPr>
          <w:p w14:paraId="40AAE692" w14:textId="77777777" w:rsidR="009B0816" w:rsidRPr="00615097" w:rsidRDefault="009B0816" w:rsidP="00235AFC">
            <w:pPr>
              <w:jc w:val="center"/>
              <w:rPr>
                <w:b/>
                <w:sz w:val="24"/>
                <w:szCs w:val="24"/>
              </w:rPr>
            </w:pPr>
            <w:r w:rsidRPr="00615097">
              <w:rPr>
                <w:b/>
                <w:sz w:val="24"/>
                <w:szCs w:val="24"/>
              </w:rPr>
              <w:t>Pretendents</w:t>
            </w:r>
          </w:p>
        </w:tc>
        <w:tc>
          <w:tcPr>
            <w:tcW w:w="2835" w:type="dxa"/>
          </w:tcPr>
          <w:p w14:paraId="775C42E1" w14:textId="77777777" w:rsidR="009B0816" w:rsidRDefault="009B0816" w:rsidP="00235AFC">
            <w:pPr>
              <w:jc w:val="center"/>
              <w:rPr>
                <w:b/>
                <w:sz w:val="24"/>
                <w:szCs w:val="24"/>
              </w:rPr>
            </w:pPr>
            <w:r w:rsidRPr="00615097">
              <w:rPr>
                <w:b/>
                <w:sz w:val="24"/>
                <w:szCs w:val="24"/>
              </w:rPr>
              <w:t xml:space="preserve">Kopējā līgumcena </w:t>
            </w:r>
          </w:p>
          <w:p w14:paraId="297EBBC2" w14:textId="77777777" w:rsidR="009B0816" w:rsidRPr="00615097" w:rsidRDefault="009B0816" w:rsidP="00235AFC">
            <w:pPr>
              <w:jc w:val="center"/>
              <w:rPr>
                <w:b/>
                <w:sz w:val="24"/>
                <w:szCs w:val="24"/>
              </w:rPr>
            </w:pPr>
            <w:r w:rsidRPr="00615097">
              <w:rPr>
                <w:b/>
                <w:sz w:val="24"/>
                <w:szCs w:val="24"/>
              </w:rPr>
              <w:t>EUR bez PVN</w:t>
            </w:r>
          </w:p>
        </w:tc>
      </w:tr>
      <w:tr w:rsidR="009B0816" w:rsidRPr="00426F88" w14:paraId="6B446C61" w14:textId="77777777" w:rsidTr="00235AFC">
        <w:trPr>
          <w:jc w:val="center"/>
        </w:trPr>
        <w:tc>
          <w:tcPr>
            <w:tcW w:w="562" w:type="dxa"/>
          </w:tcPr>
          <w:p w14:paraId="598A1F83" w14:textId="77777777" w:rsidR="009B0816" w:rsidRPr="00BE72B7" w:rsidRDefault="009B0816" w:rsidP="00235AFC">
            <w:pPr>
              <w:jc w:val="both"/>
              <w:rPr>
                <w:sz w:val="24"/>
                <w:szCs w:val="24"/>
              </w:rPr>
            </w:pPr>
            <w:r>
              <w:rPr>
                <w:sz w:val="24"/>
                <w:szCs w:val="24"/>
              </w:rPr>
              <w:t>1.</w:t>
            </w:r>
          </w:p>
        </w:tc>
        <w:tc>
          <w:tcPr>
            <w:tcW w:w="4084" w:type="dxa"/>
          </w:tcPr>
          <w:p w14:paraId="22E7DBCE" w14:textId="77777777" w:rsidR="009B0816" w:rsidRDefault="009B0816" w:rsidP="00235AFC">
            <w:pPr>
              <w:rPr>
                <w:sz w:val="24"/>
                <w:szCs w:val="24"/>
              </w:rPr>
            </w:pPr>
            <w:r>
              <w:rPr>
                <w:sz w:val="24"/>
                <w:szCs w:val="24"/>
              </w:rPr>
              <w:t>SIA “DZIETI”</w:t>
            </w:r>
          </w:p>
        </w:tc>
        <w:tc>
          <w:tcPr>
            <w:tcW w:w="2835" w:type="dxa"/>
          </w:tcPr>
          <w:p w14:paraId="33E820F0" w14:textId="77777777" w:rsidR="009B0816" w:rsidRPr="00735BFF" w:rsidRDefault="009B0816" w:rsidP="00235AFC">
            <w:pPr>
              <w:jc w:val="center"/>
              <w:rPr>
                <w:rFonts w:eastAsia="SimSun"/>
                <w:sz w:val="24"/>
                <w:szCs w:val="24"/>
              </w:rPr>
            </w:pPr>
            <w:r w:rsidRPr="00735BFF">
              <w:rPr>
                <w:rFonts w:eastAsia="SimSun"/>
                <w:sz w:val="24"/>
                <w:szCs w:val="24"/>
              </w:rPr>
              <w:t>1890.00</w:t>
            </w:r>
          </w:p>
        </w:tc>
      </w:tr>
      <w:tr w:rsidR="009B0816" w:rsidRPr="00516981" w14:paraId="6E1A3D88" w14:textId="77777777" w:rsidTr="00235AFC">
        <w:trPr>
          <w:jc w:val="center"/>
        </w:trPr>
        <w:tc>
          <w:tcPr>
            <w:tcW w:w="562" w:type="dxa"/>
          </w:tcPr>
          <w:p w14:paraId="3AFEB33C" w14:textId="77777777" w:rsidR="009B0816" w:rsidRPr="00BE72B7" w:rsidRDefault="009B0816" w:rsidP="00235AFC">
            <w:pPr>
              <w:jc w:val="both"/>
              <w:rPr>
                <w:sz w:val="24"/>
                <w:szCs w:val="24"/>
              </w:rPr>
            </w:pPr>
            <w:r>
              <w:rPr>
                <w:sz w:val="24"/>
                <w:szCs w:val="24"/>
              </w:rPr>
              <w:t>2.</w:t>
            </w:r>
          </w:p>
        </w:tc>
        <w:tc>
          <w:tcPr>
            <w:tcW w:w="4084" w:type="dxa"/>
          </w:tcPr>
          <w:p w14:paraId="582ED126" w14:textId="77777777" w:rsidR="009B0816" w:rsidRDefault="009B0816" w:rsidP="00235AFC">
            <w:pPr>
              <w:rPr>
                <w:sz w:val="24"/>
                <w:szCs w:val="24"/>
              </w:rPr>
            </w:pPr>
            <w:r>
              <w:rPr>
                <w:sz w:val="24"/>
                <w:szCs w:val="24"/>
              </w:rPr>
              <w:t>SIA “</w:t>
            </w:r>
            <w:proofErr w:type="spellStart"/>
            <w:r>
              <w:rPr>
                <w:sz w:val="24"/>
                <w:szCs w:val="24"/>
              </w:rPr>
              <w:t>Grant</w:t>
            </w:r>
            <w:proofErr w:type="spellEnd"/>
            <w:r>
              <w:rPr>
                <w:sz w:val="24"/>
                <w:szCs w:val="24"/>
              </w:rPr>
              <w:t xml:space="preserve"> </w:t>
            </w:r>
            <w:proofErr w:type="spellStart"/>
            <w:r>
              <w:rPr>
                <w:sz w:val="24"/>
                <w:szCs w:val="24"/>
              </w:rPr>
              <w:t>Thornton</w:t>
            </w:r>
            <w:proofErr w:type="spellEnd"/>
            <w:r>
              <w:rPr>
                <w:sz w:val="24"/>
                <w:szCs w:val="24"/>
              </w:rPr>
              <w:t xml:space="preserve"> </w:t>
            </w:r>
            <w:proofErr w:type="spellStart"/>
            <w:r>
              <w:rPr>
                <w:sz w:val="24"/>
                <w:szCs w:val="24"/>
              </w:rPr>
              <w:t>Baltic</w:t>
            </w:r>
            <w:proofErr w:type="spellEnd"/>
            <w:r>
              <w:rPr>
                <w:sz w:val="24"/>
                <w:szCs w:val="24"/>
              </w:rPr>
              <w:t>”</w:t>
            </w:r>
          </w:p>
        </w:tc>
        <w:tc>
          <w:tcPr>
            <w:tcW w:w="2835" w:type="dxa"/>
          </w:tcPr>
          <w:p w14:paraId="171A7C2B" w14:textId="77777777" w:rsidR="009B0816" w:rsidRPr="00735BFF" w:rsidRDefault="009B0816" w:rsidP="00235AFC">
            <w:pPr>
              <w:jc w:val="center"/>
              <w:rPr>
                <w:rFonts w:eastAsia="SimSun"/>
                <w:sz w:val="24"/>
                <w:szCs w:val="24"/>
              </w:rPr>
            </w:pPr>
            <w:r w:rsidRPr="00735BFF">
              <w:rPr>
                <w:rFonts w:eastAsia="SimSun"/>
                <w:sz w:val="24"/>
                <w:szCs w:val="24"/>
              </w:rPr>
              <w:t>2060.00</w:t>
            </w:r>
          </w:p>
        </w:tc>
      </w:tr>
      <w:tr w:rsidR="009B0816" w:rsidRPr="00516981" w14:paraId="6165FA3B" w14:textId="77777777" w:rsidTr="00235AFC">
        <w:trPr>
          <w:jc w:val="center"/>
        </w:trPr>
        <w:tc>
          <w:tcPr>
            <w:tcW w:w="562" w:type="dxa"/>
          </w:tcPr>
          <w:p w14:paraId="7FB78848" w14:textId="77777777" w:rsidR="009B0816" w:rsidRPr="00BE72B7" w:rsidRDefault="009B0816" w:rsidP="00235AFC">
            <w:pPr>
              <w:jc w:val="both"/>
              <w:rPr>
                <w:sz w:val="24"/>
                <w:szCs w:val="24"/>
              </w:rPr>
            </w:pPr>
            <w:r>
              <w:rPr>
                <w:sz w:val="24"/>
                <w:szCs w:val="24"/>
              </w:rPr>
              <w:t>3.</w:t>
            </w:r>
          </w:p>
        </w:tc>
        <w:tc>
          <w:tcPr>
            <w:tcW w:w="4084" w:type="dxa"/>
          </w:tcPr>
          <w:p w14:paraId="3EF4385A" w14:textId="77777777" w:rsidR="009B0816" w:rsidRDefault="009B0816" w:rsidP="00235AFC">
            <w:pPr>
              <w:rPr>
                <w:sz w:val="24"/>
                <w:szCs w:val="24"/>
              </w:rPr>
            </w:pPr>
            <w:r>
              <w:rPr>
                <w:sz w:val="24"/>
                <w:szCs w:val="24"/>
              </w:rPr>
              <w:t>SIA “VCG Ekspertu grupa”</w:t>
            </w:r>
          </w:p>
        </w:tc>
        <w:tc>
          <w:tcPr>
            <w:tcW w:w="2835" w:type="dxa"/>
          </w:tcPr>
          <w:p w14:paraId="3A22BAD3" w14:textId="77777777" w:rsidR="009B0816" w:rsidRPr="000E137F" w:rsidRDefault="009B0816" w:rsidP="00235AFC">
            <w:pPr>
              <w:jc w:val="center"/>
              <w:rPr>
                <w:rFonts w:eastAsia="SimSun"/>
                <w:sz w:val="24"/>
                <w:szCs w:val="24"/>
              </w:rPr>
            </w:pPr>
            <w:r>
              <w:rPr>
                <w:rFonts w:eastAsia="SimSun"/>
                <w:sz w:val="24"/>
                <w:szCs w:val="24"/>
              </w:rPr>
              <w:t>2175.00</w:t>
            </w:r>
          </w:p>
        </w:tc>
      </w:tr>
      <w:tr w:rsidR="009B0816" w:rsidRPr="00516981" w14:paraId="73450291" w14:textId="77777777" w:rsidTr="00235AFC">
        <w:trPr>
          <w:jc w:val="center"/>
        </w:trPr>
        <w:tc>
          <w:tcPr>
            <w:tcW w:w="562" w:type="dxa"/>
          </w:tcPr>
          <w:p w14:paraId="203D9183" w14:textId="77777777" w:rsidR="009B0816" w:rsidRPr="00BE72B7" w:rsidRDefault="009B0816" w:rsidP="00235AFC">
            <w:pPr>
              <w:jc w:val="both"/>
              <w:rPr>
                <w:sz w:val="24"/>
                <w:szCs w:val="24"/>
              </w:rPr>
            </w:pPr>
            <w:r>
              <w:rPr>
                <w:sz w:val="24"/>
                <w:szCs w:val="24"/>
              </w:rPr>
              <w:t>4.</w:t>
            </w:r>
          </w:p>
        </w:tc>
        <w:tc>
          <w:tcPr>
            <w:tcW w:w="4084" w:type="dxa"/>
          </w:tcPr>
          <w:p w14:paraId="75040D87" w14:textId="77777777" w:rsidR="009B0816" w:rsidRPr="00DB04ED" w:rsidRDefault="009B0816" w:rsidP="00235AFC">
            <w:pPr>
              <w:rPr>
                <w:sz w:val="24"/>
                <w:szCs w:val="24"/>
              </w:rPr>
            </w:pPr>
            <w:r>
              <w:rPr>
                <w:sz w:val="24"/>
                <w:szCs w:val="24"/>
              </w:rPr>
              <w:t>SIA “</w:t>
            </w:r>
            <w:proofErr w:type="spellStart"/>
            <w:r>
              <w:rPr>
                <w:sz w:val="24"/>
                <w:szCs w:val="24"/>
              </w:rPr>
              <w:t>Vindeks</w:t>
            </w:r>
            <w:proofErr w:type="spellEnd"/>
            <w:r>
              <w:rPr>
                <w:sz w:val="24"/>
                <w:szCs w:val="24"/>
              </w:rPr>
              <w:t>”</w:t>
            </w:r>
          </w:p>
        </w:tc>
        <w:tc>
          <w:tcPr>
            <w:tcW w:w="2835" w:type="dxa"/>
          </w:tcPr>
          <w:p w14:paraId="3787E410" w14:textId="77777777" w:rsidR="009B0816" w:rsidRPr="000E137F" w:rsidRDefault="009B0816" w:rsidP="00235AFC">
            <w:pPr>
              <w:jc w:val="center"/>
              <w:rPr>
                <w:rFonts w:eastAsia="SimSun"/>
                <w:sz w:val="24"/>
                <w:szCs w:val="24"/>
              </w:rPr>
            </w:pPr>
            <w:r>
              <w:rPr>
                <w:rFonts w:eastAsia="SimSun"/>
                <w:sz w:val="24"/>
                <w:szCs w:val="24"/>
              </w:rPr>
              <w:t>2281.00</w:t>
            </w:r>
          </w:p>
        </w:tc>
      </w:tr>
      <w:tr w:rsidR="009B0816" w:rsidRPr="00E205A8" w14:paraId="6C4E8EB0" w14:textId="77777777" w:rsidTr="00235AFC">
        <w:trPr>
          <w:jc w:val="center"/>
        </w:trPr>
        <w:tc>
          <w:tcPr>
            <w:tcW w:w="562" w:type="dxa"/>
          </w:tcPr>
          <w:p w14:paraId="39805CD4" w14:textId="77777777" w:rsidR="009B0816" w:rsidRPr="00BE72B7" w:rsidRDefault="009B0816" w:rsidP="00235AFC">
            <w:pPr>
              <w:jc w:val="both"/>
              <w:rPr>
                <w:sz w:val="24"/>
                <w:szCs w:val="24"/>
              </w:rPr>
            </w:pPr>
            <w:r>
              <w:rPr>
                <w:sz w:val="24"/>
                <w:szCs w:val="24"/>
              </w:rPr>
              <w:t>5.</w:t>
            </w:r>
          </w:p>
        </w:tc>
        <w:tc>
          <w:tcPr>
            <w:tcW w:w="4084" w:type="dxa"/>
          </w:tcPr>
          <w:p w14:paraId="0C75F714" w14:textId="77777777" w:rsidR="009B0816" w:rsidRDefault="009B0816" w:rsidP="00235AFC">
            <w:pPr>
              <w:rPr>
                <w:sz w:val="24"/>
                <w:szCs w:val="24"/>
              </w:rPr>
            </w:pPr>
            <w:r>
              <w:rPr>
                <w:sz w:val="24"/>
                <w:szCs w:val="24"/>
              </w:rPr>
              <w:t>SIA “</w:t>
            </w:r>
            <w:proofErr w:type="spellStart"/>
            <w:r>
              <w:rPr>
                <w:sz w:val="24"/>
                <w:szCs w:val="24"/>
              </w:rPr>
              <w:t>Latio</w:t>
            </w:r>
            <w:proofErr w:type="spellEnd"/>
            <w:r>
              <w:rPr>
                <w:sz w:val="24"/>
                <w:szCs w:val="24"/>
              </w:rPr>
              <w:t>”</w:t>
            </w:r>
          </w:p>
        </w:tc>
        <w:tc>
          <w:tcPr>
            <w:tcW w:w="2835" w:type="dxa"/>
          </w:tcPr>
          <w:p w14:paraId="24946760" w14:textId="77777777" w:rsidR="009B0816" w:rsidRPr="00735BFF" w:rsidRDefault="009B0816" w:rsidP="00235AFC">
            <w:pPr>
              <w:jc w:val="center"/>
              <w:rPr>
                <w:rFonts w:eastAsia="SimSun"/>
                <w:sz w:val="24"/>
                <w:szCs w:val="24"/>
              </w:rPr>
            </w:pPr>
            <w:r w:rsidRPr="00735BFF">
              <w:rPr>
                <w:rFonts w:eastAsia="SimSun"/>
                <w:sz w:val="24"/>
                <w:szCs w:val="24"/>
              </w:rPr>
              <w:t>2305.00</w:t>
            </w:r>
          </w:p>
        </w:tc>
      </w:tr>
      <w:bookmarkEnd w:id="4"/>
    </w:tbl>
    <w:p w14:paraId="550427B0" w14:textId="557DFFE5" w:rsidR="009B0816" w:rsidRPr="009B0816" w:rsidRDefault="009B0816" w:rsidP="00682253">
      <w:pPr>
        <w:ind w:firstLine="720"/>
        <w:jc w:val="both"/>
        <w:rPr>
          <w:sz w:val="24"/>
          <w:szCs w:val="24"/>
        </w:rPr>
      </w:pPr>
    </w:p>
    <w:p w14:paraId="6DCE4B87" w14:textId="2EFAB8F6" w:rsidR="00F4113F" w:rsidRPr="00682253" w:rsidRDefault="009B0816" w:rsidP="00682253">
      <w:pPr>
        <w:ind w:firstLine="720"/>
        <w:jc w:val="both"/>
        <w:rPr>
          <w:sz w:val="24"/>
          <w:szCs w:val="24"/>
        </w:rPr>
      </w:pPr>
      <w:r>
        <w:rPr>
          <w:sz w:val="24"/>
          <w:szCs w:val="24"/>
        </w:rPr>
        <w:t>1</w:t>
      </w:r>
      <w:r w:rsidR="00682253" w:rsidRPr="00682253">
        <w:rPr>
          <w:sz w:val="24"/>
          <w:szCs w:val="24"/>
        </w:rPr>
        <w:t>.</w:t>
      </w:r>
      <w:r>
        <w:rPr>
          <w:sz w:val="24"/>
          <w:szCs w:val="24"/>
        </w:rPr>
        <w:t>8</w:t>
      </w:r>
      <w:r w:rsidR="00F4113F" w:rsidRPr="00682253">
        <w:rPr>
          <w:sz w:val="24"/>
          <w:szCs w:val="24"/>
        </w:rPr>
        <w:t>. Pieņemt zināšanai, ka</w:t>
      </w:r>
      <w:r>
        <w:rPr>
          <w:sz w:val="24"/>
          <w:szCs w:val="24"/>
        </w:rPr>
        <w:t xml:space="preserve"> nevienam no turpmāk uzskaitītajiem pretendentiem:</w:t>
      </w:r>
      <w:r w:rsidR="00F4113F" w:rsidRPr="00682253">
        <w:rPr>
          <w:sz w:val="24"/>
          <w:szCs w:val="24"/>
        </w:rPr>
        <w:t xml:space="preserve"> </w:t>
      </w:r>
      <w:r>
        <w:rPr>
          <w:sz w:val="24"/>
          <w:szCs w:val="24"/>
        </w:rPr>
        <w:t>SIA “</w:t>
      </w:r>
      <w:proofErr w:type="spellStart"/>
      <w:r>
        <w:rPr>
          <w:sz w:val="24"/>
          <w:szCs w:val="24"/>
        </w:rPr>
        <w:t>Vindeks</w:t>
      </w:r>
      <w:proofErr w:type="spellEnd"/>
      <w:r>
        <w:rPr>
          <w:sz w:val="24"/>
          <w:szCs w:val="24"/>
        </w:rPr>
        <w:t>”, SIA “VCG Ekspertu grupa”, SIA “</w:t>
      </w:r>
      <w:proofErr w:type="spellStart"/>
      <w:r>
        <w:rPr>
          <w:sz w:val="24"/>
          <w:szCs w:val="24"/>
        </w:rPr>
        <w:t>Latio</w:t>
      </w:r>
      <w:proofErr w:type="spellEnd"/>
      <w:r>
        <w:rPr>
          <w:sz w:val="24"/>
          <w:szCs w:val="24"/>
        </w:rPr>
        <w:t>”, SIA “DZIETI”, un SIA “</w:t>
      </w:r>
      <w:proofErr w:type="spellStart"/>
      <w:r>
        <w:rPr>
          <w:sz w:val="24"/>
          <w:szCs w:val="24"/>
        </w:rPr>
        <w:t>Grant</w:t>
      </w:r>
      <w:proofErr w:type="spellEnd"/>
      <w:r>
        <w:rPr>
          <w:sz w:val="24"/>
          <w:szCs w:val="24"/>
        </w:rPr>
        <w:t xml:space="preserve"> </w:t>
      </w:r>
      <w:proofErr w:type="spellStart"/>
      <w:r>
        <w:rPr>
          <w:sz w:val="24"/>
          <w:szCs w:val="24"/>
        </w:rPr>
        <w:t>Thornton</w:t>
      </w:r>
      <w:proofErr w:type="spellEnd"/>
      <w:r>
        <w:rPr>
          <w:sz w:val="24"/>
          <w:szCs w:val="24"/>
        </w:rPr>
        <w:t xml:space="preserve"> </w:t>
      </w:r>
      <w:proofErr w:type="spellStart"/>
      <w:r>
        <w:rPr>
          <w:sz w:val="24"/>
          <w:szCs w:val="24"/>
        </w:rPr>
        <w:t>Baltic</w:t>
      </w:r>
      <w:proofErr w:type="spellEnd"/>
      <w:r>
        <w:rPr>
          <w:sz w:val="24"/>
          <w:szCs w:val="24"/>
        </w:rPr>
        <w:t>”</w:t>
      </w:r>
      <w:r w:rsidR="00F4113F" w:rsidRPr="00682253">
        <w:rPr>
          <w:sz w:val="24"/>
          <w:szCs w:val="24"/>
        </w:rPr>
        <w:t>, saskaņā ar Valsts ieņēmumu dienesta izziņu uz 201</w:t>
      </w:r>
      <w:r w:rsidR="00682253" w:rsidRPr="00682253">
        <w:rPr>
          <w:sz w:val="24"/>
          <w:szCs w:val="24"/>
        </w:rPr>
        <w:t>8</w:t>
      </w:r>
      <w:r w:rsidR="00F4113F" w:rsidRPr="00682253">
        <w:rPr>
          <w:sz w:val="24"/>
          <w:szCs w:val="24"/>
        </w:rPr>
        <w:t xml:space="preserve">.gada </w:t>
      </w:r>
      <w:r>
        <w:rPr>
          <w:sz w:val="24"/>
          <w:szCs w:val="24"/>
        </w:rPr>
        <w:t>18.decembri</w:t>
      </w:r>
      <w:r w:rsidR="00F4113F" w:rsidRPr="00682253">
        <w:rPr>
          <w:sz w:val="24"/>
          <w:szCs w:val="24"/>
        </w:rPr>
        <w:t xml:space="preserve"> nav Valsts ieņēmumu dienesta administrēto nodokļu (nodevu) parāda, kas kopsummā pārsniedz 150 </w:t>
      </w:r>
      <w:proofErr w:type="spellStart"/>
      <w:r w:rsidR="00F4113F" w:rsidRPr="00682253">
        <w:rPr>
          <w:sz w:val="24"/>
          <w:szCs w:val="24"/>
        </w:rPr>
        <w:t>euro</w:t>
      </w:r>
      <w:proofErr w:type="spellEnd"/>
      <w:r w:rsidR="00F4113F" w:rsidRPr="00682253">
        <w:rPr>
          <w:sz w:val="24"/>
          <w:szCs w:val="24"/>
        </w:rPr>
        <w:t>, un saskaņā ar 201</w:t>
      </w:r>
      <w:r w:rsidR="00682253" w:rsidRPr="00682253">
        <w:rPr>
          <w:sz w:val="24"/>
          <w:szCs w:val="24"/>
        </w:rPr>
        <w:t>8</w:t>
      </w:r>
      <w:r w:rsidR="00F4113F" w:rsidRPr="00682253">
        <w:rPr>
          <w:sz w:val="24"/>
          <w:szCs w:val="24"/>
        </w:rPr>
        <w:t xml:space="preserve">.gada </w:t>
      </w:r>
      <w:r>
        <w:rPr>
          <w:sz w:val="24"/>
          <w:szCs w:val="24"/>
        </w:rPr>
        <w:t>18</w:t>
      </w:r>
      <w:r w:rsidR="00682253" w:rsidRPr="00682253">
        <w:rPr>
          <w:sz w:val="24"/>
          <w:szCs w:val="24"/>
        </w:rPr>
        <w:t>.</w:t>
      </w:r>
      <w:r>
        <w:rPr>
          <w:sz w:val="24"/>
          <w:szCs w:val="24"/>
        </w:rPr>
        <w:t>decembra</w:t>
      </w:r>
      <w:r w:rsidR="00F4113F" w:rsidRPr="00682253">
        <w:rPr>
          <w:sz w:val="24"/>
          <w:szCs w:val="24"/>
        </w:rPr>
        <w:t xml:space="preserve"> izziņu no Lursoft datu bāzes nav pasludināts</w:t>
      </w:r>
      <w:r>
        <w:rPr>
          <w:sz w:val="24"/>
          <w:szCs w:val="24"/>
        </w:rPr>
        <w:t xml:space="preserve"> neviena</w:t>
      </w:r>
      <w:r w:rsidR="00F4113F" w:rsidRPr="00682253">
        <w:rPr>
          <w:sz w:val="24"/>
          <w:szCs w:val="24"/>
        </w:rPr>
        <w:t xml:space="preserve">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E346891" w14:textId="6C6D6C81" w:rsidR="00F4113F" w:rsidRDefault="009B0816" w:rsidP="00682253">
      <w:pPr>
        <w:ind w:firstLine="720"/>
        <w:jc w:val="both"/>
        <w:rPr>
          <w:sz w:val="24"/>
          <w:szCs w:val="24"/>
        </w:rPr>
      </w:pPr>
      <w:r>
        <w:rPr>
          <w:sz w:val="24"/>
          <w:szCs w:val="24"/>
        </w:rPr>
        <w:t>1.9</w:t>
      </w:r>
      <w:r w:rsidR="00F4113F" w:rsidRPr="00682253">
        <w:rPr>
          <w:sz w:val="24"/>
          <w:szCs w:val="24"/>
        </w:rPr>
        <w:t xml:space="preserve">. Par </w:t>
      </w:r>
      <w:r w:rsidR="00682253" w:rsidRPr="00682253">
        <w:rPr>
          <w:sz w:val="24"/>
          <w:szCs w:val="24"/>
        </w:rPr>
        <w:t>m</w:t>
      </w:r>
      <w:r w:rsidR="00F4113F" w:rsidRPr="00682253">
        <w:rPr>
          <w:sz w:val="24"/>
          <w:szCs w:val="24"/>
        </w:rPr>
        <w:t xml:space="preserve">azā iepirkuma </w:t>
      </w:r>
      <w:r>
        <w:rPr>
          <w:sz w:val="24"/>
        </w:rPr>
        <w:t xml:space="preserve">“Vispārīgā vienošanās nekustamo īpašumu tirgus (parastās) vērtības noteikšanas pakalpojumiem” (PA/2018/71) </w:t>
      </w:r>
      <w:r w:rsidR="00F4113F" w:rsidRPr="00682253">
        <w:rPr>
          <w:sz w:val="24"/>
          <w:szCs w:val="24"/>
        </w:rPr>
        <w:t>uzvarētāj</w:t>
      </w:r>
      <w:r>
        <w:rPr>
          <w:sz w:val="24"/>
          <w:szCs w:val="24"/>
        </w:rPr>
        <w:t>iem</w:t>
      </w:r>
      <w:r w:rsidR="00F4113F" w:rsidRPr="00682253">
        <w:rPr>
          <w:sz w:val="24"/>
          <w:szCs w:val="24"/>
        </w:rPr>
        <w:t xml:space="preserve"> atzīt un </w:t>
      </w:r>
      <w:r>
        <w:rPr>
          <w:sz w:val="24"/>
          <w:szCs w:val="24"/>
        </w:rPr>
        <w:t xml:space="preserve">vispārīgo vienošanos uz periodu 3 gadi vai līdz kopējās summas 41999.99 EUR neieskaitot pievienotās vērtības nodoklī atkarībā no tā, kurš no nosacījumiem iestāsies pirmais, </w:t>
      </w:r>
      <w:r w:rsidR="00F4113F" w:rsidRPr="00682253">
        <w:rPr>
          <w:sz w:val="24"/>
          <w:szCs w:val="24"/>
        </w:rPr>
        <w:t xml:space="preserve">noslēgt ar </w:t>
      </w:r>
      <w:r>
        <w:rPr>
          <w:sz w:val="24"/>
          <w:szCs w:val="24"/>
        </w:rPr>
        <w:t>SIA “</w:t>
      </w:r>
      <w:proofErr w:type="spellStart"/>
      <w:r>
        <w:rPr>
          <w:sz w:val="24"/>
          <w:szCs w:val="24"/>
        </w:rPr>
        <w:t>Vindeks</w:t>
      </w:r>
      <w:proofErr w:type="spellEnd"/>
      <w:r>
        <w:rPr>
          <w:sz w:val="24"/>
          <w:szCs w:val="24"/>
        </w:rPr>
        <w:t>”, SIA “VCG Ekspertu grupa”, SIA “</w:t>
      </w:r>
      <w:proofErr w:type="spellStart"/>
      <w:r>
        <w:rPr>
          <w:sz w:val="24"/>
          <w:szCs w:val="24"/>
        </w:rPr>
        <w:t>Latio</w:t>
      </w:r>
      <w:proofErr w:type="spellEnd"/>
      <w:r>
        <w:rPr>
          <w:sz w:val="24"/>
          <w:szCs w:val="24"/>
        </w:rPr>
        <w:t>”, SIA “DZIETI”, un SIA “</w:t>
      </w:r>
      <w:proofErr w:type="spellStart"/>
      <w:r>
        <w:rPr>
          <w:sz w:val="24"/>
          <w:szCs w:val="24"/>
        </w:rPr>
        <w:t>Grant</w:t>
      </w:r>
      <w:proofErr w:type="spellEnd"/>
      <w:r>
        <w:rPr>
          <w:sz w:val="24"/>
          <w:szCs w:val="24"/>
        </w:rPr>
        <w:t xml:space="preserve"> </w:t>
      </w:r>
      <w:proofErr w:type="spellStart"/>
      <w:r>
        <w:rPr>
          <w:sz w:val="24"/>
          <w:szCs w:val="24"/>
        </w:rPr>
        <w:t>Thornton</w:t>
      </w:r>
      <w:proofErr w:type="spellEnd"/>
      <w:r>
        <w:rPr>
          <w:sz w:val="24"/>
          <w:szCs w:val="24"/>
        </w:rPr>
        <w:t xml:space="preserve"> </w:t>
      </w:r>
      <w:proofErr w:type="spellStart"/>
      <w:r>
        <w:rPr>
          <w:sz w:val="24"/>
          <w:szCs w:val="24"/>
        </w:rPr>
        <w:t>Baltic</w:t>
      </w:r>
      <w:proofErr w:type="spellEnd"/>
      <w:r>
        <w:rPr>
          <w:sz w:val="24"/>
          <w:szCs w:val="24"/>
        </w:rPr>
        <w:t>”</w:t>
      </w:r>
      <w:r w:rsidR="00F4113F" w:rsidRPr="00682253">
        <w:rPr>
          <w:sz w:val="24"/>
          <w:szCs w:val="24"/>
        </w:rPr>
        <w:t>.</w:t>
      </w:r>
    </w:p>
    <w:p w14:paraId="3CE88BF9" w14:textId="0BD7212B" w:rsidR="009B0816" w:rsidRDefault="009B0816" w:rsidP="00682253">
      <w:pPr>
        <w:ind w:firstLine="720"/>
        <w:jc w:val="both"/>
        <w:rPr>
          <w:sz w:val="24"/>
          <w:szCs w:val="24"/>
        </w:rPr>
      </w:pPr>
      <w:r>
        <w:rPr>
          <w:sz w:val="24"/>
          <w:szCs w:val="24"/>
        </w:rPr>
        <w:t xml:space="preserve">1.10. </w:t>
      </w:r>
      <w:r w:rsidRPr="005C03DA">
        <w:rPr>
          <w:sz w:val="24"/>
          <w:szCs w:val="24"/>
        </w:rPr>
        <w:t xml:space="preserve">Saskaņā ar iesniegtajiem piedāvājumiem </w:t>
      </w:r>
      <w:r>
        <w:rPr>
          <w:rFonts w:eastAsia="SimSun"/>
          <w:sz w:val="24"/>
          <w:szCs w:val="24"/>
        </w:rPr>
        <w:t xml:space="preserve">vispārīgās vienošanās ietvaros par </w:t>
      </w:r>
      <w:r>
        <w:rPr>
          <w:color w:val="000000" w:themeColor="text1"/>
          <w:sz w:val="24"/>
          <w:szCs w:val="24"/>
        </w:rPr>
        <w:t xml:space="preserve">Tehniskās specifikācijas 1. un 2.daļā </w:t>
      </w:r>
      <w:r>
        <w:rPr>
          <w:sz w:val="24"/>
          <w:szCs w:val="24"/>
        </w:rPr>
        <w:t xml:space="preserve">norādīto nekustamo īpašumu tirgus (parastās) vērtības </w:t>
      </w:r>
      <w:r>
        <w:rPr>
          <w:sz w:val="24"/>
          <w:szCs w:val="24"/>
        </w:rPr>
        <w:lastRenderedPageBreak/>
        <w:t xml:space="preserve">noteikšanas uzvarētāju </w:t>
      </w:r>
      <w:r w:rsidR="00FC19EF">
        <w:rPr>
          <w:sz w:val="24"/>
          <w:szCs w:val="24"/>
        </w:rPr>
        <w:t>atzīt un iepirkuma līgumu noslēgt ar</w:t>
      </w:r>
      <w:r w:rsidRPr="005C03DA">
        <w:rPr>
          <w:sz w:val="24"/>
          <w:szCs w:val="24"/>
        </w:rPr>
        <w:t xml:space="preserve"> </w:t>
      </w:r>
      <w:r w:rsidRPr="00FC19EF">
        <w:rPr>
          <w:sz w:val="24"/>
          <w:szCs w:val="24"/>
        </w:rPr>
        <w:t>SIA “DZIETI”,</w:t>
      </w:r>
      <w:r>
        <w:rPr>
          <w:b/>
          <w:sz w:val="24"/>
          <w:szCs w:val="24"/>
        </w:rPr>
        <w:t xml:space="preserve"> </w:t>
      </w:r>
      <w:r w:rsidRPr="005C03DA">
        <w:rPr>
          <w:sz w:val="24"/>
          <w:szCs w:val="24"/>
        </w:rPr>
        <w:t xml:space="preserve">kas piedāvāja </w:t>
      </w:r>
      <w:r>
        <w:rPr>
          <w:sz w:val="24"/>
          <w:szCs w:val="24"/>
        </w:rPr>
        <w:t>zemāko kopējo līgumcenu 1890.00</w:t>
      </w:r>
      <w:r w:rsidRPr="005C03DA">
        <w:rPr>
          <w:sz w:val="24"/>
          <w:szCs w:val="24"/>
        </w:rPr>
        <w:t xml:space="preserve"> EUR bez PVN</w:t>
      </w:r>
      <w:r w:rsidR="00FC19EF">
        <w:rPr>
          <w:sz w:val="24"/>
          <w:szCs w:val="24"/>
        </w:rPr>
        <w:t>.</w:t>
      </w:r>
    </w:p>
    <w:p w14:paraId="57203308" w14:textId="00761888" w:rsidR="00234999" w:rsidRDefault="00234999" w:rsidP="00682253">
      <w:pPr>
        <w:ind w:firstLine="720"/>
        <w:jc w:val="both"/>
        <w:rPr>
          <w:sz w:val="24"/>
          <w:szCs w:val="24"/>
        </w:rPr>
      </w:pPr>
      <w:r>
        <w:rPr>
          <w:sz w:val="24"/>
          <w:szCs w:val="24"/>
        </w:rPr>
        <w:t xml:space="preserve">1.11. Pilnvarot Iepirkumu un tehniska nodrošinājuma nodaļas vadītāju Ingrīdu Purmali un iepirkumu speciālisti Evu </w:t>
      </w:r>
      <w:proofErr w:type="spellStart"/>
      <w:r>
        <w:rPr>
          <w:sz w:val="24"/>
          <w:szCs w:val="24"/>
        </w:rPr>
        <w:t>Jonāsi</w:t>
      </w:r>
      <w:proofErr w:type="spellEnd"/>
      <w:r>
        <w:rPr>
          <w:sz w:val="24"/>
          <w:szCs w:val="24"/>
        </w:rPr>
        <w:t xml:space="preserve"> (turpmāk – </w:t>
      </w:r>
      <w:r w:rsidR="00A11945">
        <w:rPr>
          <w:sz w:val="24"/>
          <w:szCs w:val="24"/>
        </w:rPr>
        <w:t>pilnvarotie pārstāvji</w:t>
      </w:r>
      <w:r>
        <w:rPr>
          <w:sz w:val="24"/>
          <w:szCs w:val="24"/>
        </w:rPr>
        <w:t>) noslēgtās vispārīgās vienošanās ietvaros organizēt aptaujas</w:t>
      </w:r>
      <w:r w:rsidR="00A11945">
        <w:rPr>
          <w:sz w:val="24"/>
          <w:szCs w:val="24"/>
        </w:rPr>
        <w:t xml:space="preserve"> par nekustamo īpašumu vērtēšanas izmaksām</w:t>
      </w:r>
      <w:r>
        <w:rPr>
          <w:sz w:val="24"/>
          <w:szCs w:val="24"/>
        </w:rPr>
        <w:t xml:space="preserve"> un piedāvājumu vērtēšanu ārpus Iepirkuma komisijas.</w:t>
      </w:r>
    </w:p>
    <w:p w14:paraId="1F795EED" w14:textId="605C1480" w:rsidR="00234999" w:rsidRPr="00682253" w:rsidRDefault="00234999" w:rsidP="00682253">
      <w:pPr>
        <w:ind w:firstLine="720"/>
        <w:jc w:val="both"/>
        <w:rPr>
          <w:sz w:val="24"/>
          <w:szCs w:val="24"/>
        </w:rPr>
      </w:pPr>
      <w:r>
        <w:rPr>
          <w:sz w:val="24"/>
          <w:szCs w:val="24"/>
        </w:rPr>
        <w:t xml:space="preserve">1.12. Noteikt, ka vispārīgās vienošanās ietvaros Iepirkuma komisija izskatīs </w:t>
      </w:r>
      <w:r w:rsidR="00A11945">
        <w:rPr>
          <w:sz w:val="24"/>
          <w:szCs w:val="24"/>
        </w:rPr>
        <w:t>pilnvaroto pārstāvju sagatavotos atzinumus par iesniegtajiem piedāvājumiem</w:t>
      </w:r>
      <w:r>
        <w:rPr>
          <w:sz w:val="24"/>
          <w:szCs w:val="24"/>
        </w:rPr>
        <w:t xml:space="preserve"> un apstiprinās katra līguma slēgšanas tiesību piešķiršanu.</w:t>
      </w:r>
    </w:p>
    <w:p w14:paraId="11D08266" w14:textId="77777777" w:rsidR="00C66672" w:rsidRPr="00682253" w:rsidRDefault="00C66672" w:rsidP="00682253">
      <w:pPr>
        <w:pStyle w:val="BodyText2"/>
        <w:ind w:firstLine="720"/>
        <w:rPr>
          <w:rFonts w:ascii="Times New Roman" w:hAnsi="Times New Roman"/>
          <w:szCs w:val="24"/>
        </w:rPr>
      </w:pPr>
      <w:r w:rsidRPr="00682253">
        <w:rPr>
          <w:rFonts w:ascii="Times New Roman" w:hAnsi="Times New Roman"/>
          <w:szCs w:val="24"/>
        </w:rPr>
        <w:t>Par:</w:t>
      </w:r>
      <w:r w:rsidRPr="00682253">
        <w:rPr>
          <w:rFonts w:ascii="Times New Roman" w:hAnsi="Times New Roman"/>
          <w:szCs w:val="24"/>
        </w:rPr>
        <w:tab/>
        <w:t>Ģ.Freibergs, I.Purmale, S.Balcars, K.Timpars</w:t>
      </w:r>
    </w:p>
    <w:p w14:paraId="07273F13" w14:textId="77777777" w:rsidR="00C66672" w:rsidRPr="00682253" w:rsidRDefault="00C66672" w:rsidP="00682253">
      <w:pPr>
        <w:keepLines/>
        <w:tabs>
          <w:tab w:val="left" w:pos="709"/>
        </w:tabs>
        <w:rPr>
          <w:sz w:val="24"/>
          <w:szCs w:val="24"/>
        </w:rPr>
      </w:pPr>
      <w:r w:rsidRPr="00682253">
        <w:rPr>
          <w:sz w:val="24"/>
          <w:szCs w:val="24"/>
        </w:rPr>
        <w:tab/>
        <w:t xml:space="preserve">Pret: </w:t>
      </w:r>
      <w:r w:rsidRPr="00682253">
        <w:rPr>
          <w:sz w:val="24"/>
          <w:szCs w:val="24"/>
        </w:rPr>
        <w:tab/>
        <w:t>nav</w:t>
      </w:r>
    </w:p>
    <w:p w14:paraId="07AB8257" w14:textId="77777777" w:rsidR="00C66672" w:rsidRPr="00682253" w:rsidRDefault="00C66672" w:rsidP="00682253">
      <w:pPr>
        <w:pStyle w:val="BodyText2"/>
        <w:ind w:firstLine="720"/>
        <w:rPr>
          <w:rFonts w:ascii="Times New Roman" w:hAnsi="Times New Roman"/>
          <w:szCs w:val="24"/>
        </w:rPr>
      </w:pPr>
      <w:r w:rsidRPr="00682253">
        <w:rPr>
          <w:rFonts w:ascii="Times New Roman" w:hAnsi="Times New Roman"/>
          <w:szCs w:val="24"/>
        </w:rPr>
        <w:t>Lēmums pieņemts vienbalsīgi.</w:t>
      </w:r>
    </w:p>
    <w:p w14:paraId="4F4B9EA2" w14:textId="77777777" w:rsidR="00C66672" w:rsidRPr="00DB04ED" w:rsidRDefault="00C66672" w:rsidP="00591636">
      <w:pPr>
        <w:pStyle w:val="BodyText2"/>
        <w:ind w:firstLine="720"/>
        <w:rPr>
          <w:rFonts w:ascii="Times New Roman" w:hAnsi="Times New Roman"/>
          <w:szCs w:val="24"/>
        </w:rPr>
      </w:pPr>
    </w:p>
    <w:p w14:paraId="0B6578BD" w14:textId="4ED5AFF8" w:rsidR="00595E1D" w:rsidRDefault="00595E1D" w:rsidP="00591636">
      <w:pPr>
        <w:pStyle w:val="BodyText2"/>
        <w:ind w:firstLine="720"/>
        <w:rPr>
          <w:rFonts w:ascii="Times New Roman" w:hAnsi="Times New Roman"/>
          <w:szCs w:val="24"/>
        </w:rPr>
      </w:pPr>
    </w:p>
    <w:p w14:paraId="283B755B" w14:textId="5A8A2580" w:rsidR="00023A5F" w:rsidRPr="00DB04ED" w:rsidRDefault="00023A5F" w:rsidP="00591636">
      <w:pPr>
        <w:pStyle w:val="BodyText2"/>
        <w:rPr>
          <w:rFonts w:ascii="Times New Roman" w:hAnsi="Times New Roman"/>
          <w:szCs w:val="24"/>
        </w:rPr>
      </w:pPr>
    </w:p>
    <w:tbl>
      <w:tblPr>
        <w:tblW w:w="9565" w:type="dxa"/>
        <w:tblInd w:w="-34" w:type="dxa"/>
        <w:tblLayout w:type="fixed"/>
        <w:tblLook w:val="00A0" w:firstRow="1" w:lastRow="0" w:firstColumn="1" w:lastColumn="0" w:noHBand="0" w:noVBand="0"/>
      </w:tblPr>
      <w:tblGrid>
        <w:gridCol w:w="3686"/>
        <w:gridCol w:w="3578"/>
        <w:gridCol w:w="2301"/>
      </w:tblGrid>
      <w:tr w:rsidR="00797A77" w:rsidRPr="00DB04ED" w14:paraId="71642D94" w14:textId="77777777" w:rsidTr="00797A77">
        <w:trPr>
          <w:cantSplit/>
          <w:trHeight w:val="482"/>
        </w:trPr>
        <w:tc>
          <w:tcPr>
            <w:tcW w:w="3686" w:type="dxa"/>
          </w:tcPr>
          <w:p w14:paraId="2498E117" w14:textId="5EC34252" w:rsidR="00797A77" w:rsidRPr="00DB04ED" w:rsidRDefault="00797A77" w:rsidP="00591636">
            <w:pPr>
              <w:keepLines/>
              <w:jc w:val="both"/>
              <w:rPr>
                <w:sz w:val="24"/>
                <w:szCs w:val="24"/>
              </w:rPr>
            </w:pPr>
            <w:r w:rsidRPr="00DB04ED">
              <w:rPr>
                <w:sz w:val="24"/>
                <w:szCs w:val="24"/>
              </w:rPr>
              <w:t xml:space="preserve">Sēde beidzas plkst. </w:t>
            </w:r>
            <w:r w:rsidR="00FC19EF">
              <w:rPr>
                <w:sz w:val="24"/>
                <w:szCs w:val="24"/>
              </w:rPr>
              <w:t>9</w:t>
            </w:r>
            <w:r>
              <w:rPr>
                <w:sz w:val="24"/>
                <w:szCs w:val="24"/>
              </w:rPr>
              <w:t>.</w:t>
            </w:r>
            <w:r w:rsidR="00797605">
              <w:rPr>
                <w:sz w:val="24"/>
                <w:szCs w:val="24"/>
              </w:rPr>
              <w:t>2</w:t>
            </w:r>
            <w:r w:rsidR="00066561">
              <w:rPr>
                <w:sz w:val="24"/>
                <w:szCs w:val="24"/>
              </w:rPr>
              <w:t>0</w:t>
            </w:r>
            <w:r w:rsidRPr="00DB04ED">
              <w:rPr>
                <w:sz w:val="24"/>
                <w:szCs w:val="24"/>
              </w:rPr>
              <w:t>.</w:t>
            </w:r>
          </w:p>
          <w:p w14:paraId="7B8ACA14" w14:textId="77777777" w:rsidR="00797A77" w:rsidRPr="00DB04ED" w:rsidRDefault="00797A77" w:rsidP="00591636">
            <w:pPr>
              <w:keepLines/>
              <w:jc w:val="both"/>
              <w:rPr>
                <w:sz w:val="24"/>
                <w:szCs w:val="24"/>
              </w:rPr>
            </w:pPr>
          </w:p>
          <w:p w14:paraId="1677672A" w14:textId="3E194004" w:rsidR="00797A77" w:rsidRPr="00DB04ED" w:rsidRDefault="00797A77" w:rsidP="00591636">
            <w:pPr>
              <w:keepLines/>
              <w:jc w:val="both"/>
              <w:rPr>
                <w:sz w:val="24"/>
                <w:szCs w:val="24"/>
              </w:rPr>
            </w:pPr>
            <w:r w:rsidRPr="00DB04ED">
              <w:rPr>
                <w:sz w:val="24"/>
                <w:szCs w:val="24"/>
              </w:rPr>
              <w:t>Iepirkuma komisijas priekšsēdētājs:</w:t>
            </w:r>
          </w:p>
          <w:p w14:paraId="15E3619E" w14:textId="5C19EBB4" w:rsidR="00797A77" w:rsidRPr="00DB04ED" w:rsidRDefault="00797A77" w:rsidP="00591636">
            <w:pPr>
              <w:keepLines/>
              <w:jc w:val="both"/>
              <w:rPr>
                <w:sz w:val="24"/>
                <w:szCs w:val="24"/>
              </w:rPr>
            </w:pPr>
          </w:p>
          <w:p w14:paraId="69744662" w14:textId="77777777" w:rsidR="00797A77" w:rsidRPr="00DB04ED" w:rsidRDefault="00797A77" w:rsidP="00591636">
            <w:pPr>
              <w:keepLines/>
              <w:jc w:val="both"/>
              <w:rPr>
                <w:sz w:val="24"/>
                <w:szCs w:val="24"/>
              </w:rPr>
            </w:pPr>
          </w:p>
          <w:p w14:paraId="7DBD8082" w14:textId="77777777" w:rsidR="00797A77" w:rsidRPr="00DB04ED" w:rsidRDefault="00797A77" w:rsidP="00591636">
            <w:pPr>
              <w:keepLines/>
              <w:jc w:val="both"/>
              <w:rPr>
                <w:sz w:val="24"/>
                <w:szCs w:val="24"/>
              </w:rPr>
            </w:pPr>
            <w:r w:rsidRPr="00DB04ED">
              <w:rPr>
                <w:sz w:val="24"/>
                <w:szCs w:val="24"/>
              </w:rPr>
              <w:t>Iepirkuma komisijas locekļi:</w:t>
            </w:r>
          </w:p>
        </w:tc>
        <w:tc>
          <w:tcPr>
            <w:tcW w:w="3578" w:type="dxa"/>
          </w:tcPr>
          <w:p w14:paraId="69F7FBA7" w14:textId="77777777" w:rsidR="00797A77" w:rsidRPr="00DB04ED" w:rsidRDefault="00797A77" w:rsidP="00591636">
            <w:pPr>
              <w:keepLines/>
              <w:jc w:val="both"/>
              <w:rPr>
                <w:sz w:val="24"/>
                <w:szCs w:val="24"/>
              </w:rPr>
            </w:pPr>
          </w:p>
        </w:tc>
        <w:tc>
          <w:tcPr>
            <w:tcW w:w="2301" w:type="dxa"/>
          </w:tcPr>
          <w:p w14:paraId="697E1C64" w14:textId="77777777" w:rsidR="00797A77" w:rsidRPr="00DB04ED" w:rsidRDefault="00797A77" w:rsidP="00591636">
            <w:pPr>
              <w:jc w:val="both"/>
              <w:rPr>
                <w:sz w:val="24"/>
                <w:szCs w:val="24"/>
              </w:rPr>
            </w:pPr>
          </w:p>
          <w:p w14:paraId="261429A8" w14:textId="77777777" w:rsidR="00797A77" w:rsidRPr="00DB04ED" w:rsidRDefault="00797A77" w:rsidP="00591636">
            <w:pPr>
              <w:jc w:val="both"/>
              <w:rPr>
                <w:sz w:val="24"/>
                <w:szCs w:val="24"/>
              </w:rPr>
            </w:pPr>
          </w:p>
          <w:p w14:paraId="3E3A2661" w14:textId="69B9BF0E" w:rsidR="00797A77" w:rsidRPr="00DB04ED" w:rsidRDefault="00797A77" w:rsidP="00591636">
            <w:pPr>
              <w:jc w:val="both"/>
              <w:rPr>
                <w:sz w:val="24"/>
                <w:szCs w:val="24"/>
              </w:rPr>
            </w:pPr>
            <w:r w:rsidRPr="00DB04ED">
              <w:rPr>
                <w:sz w:val="24"/>
                <w:szCs w:val="24"/>
              </w:rPr>
              <w:t>Ģ.Freibergs</w:t>
            </w:r>
          </w:p>
          <w:p w14:paraId="4F24A298" w14:textId="2CBD1051" w:rsidR="00797A77" w:rsidRPr="00DB04ED" w:rsidRDefault="00797A77" w:rsidP="00591636">
            <w:pPr>
              <w:jc w:val="both"/>
              <w:rPr>
                <w:sz w:val="24"/>
                <w:szCs w:val="24"/>
              </w:rPr>
            </w:pPr>
          </w:p>
          <w:p w14:paraId="6C27D0C9" w14:textId="77777777" w:rsidR="00797A77" w:rsidRPr="00DB04ED" w:rsidRDefault="00797A77" w:rsidP="00591636">
            <w:pPr>
              <w:jc w:val="both"/>
              <w:rPr>
                <w:sz w:val="24"/>
                <w:szCs w:val="24"/>
              </w:rPr>
            </w:pPr>
          </w:p>
          <w:p w14:paraId="3D3A9781" w14:textId="61D6F1D0" w:rsidR="00797A77" w:rsidRDefault="00797A77" w:rsidP="00591636">
            <w:pPr>
              <w:ind w:right="855"/>
              <w:jc w:val="both"/>
              <w:rPr>
                <w:sz w:val="24"/>
                <w:szCs w:val="24"/>
              </w:rPr>
            </w:pPr>
            <w:r w:rsidRPr="00DB04ED">
              <w:rPr>
                <w:sz w:val="24"/>
                <w:szCs w:val="24"/>
              </w:rPr>
              <w:t>S.Balcars</w:t>
            </w:r>
          </w:p>
          <w:p w14:paraId="0E079A33" w14:textId="54B33DA4" w:rsidR="00591636" w:rsidRDefault="00591636" w:rsidP="00591636">
            <w:pPr>
              <w:ind w:right="855"/>
              <w:jc w:val="both"/>
              <w:rPr>
                <w:sz w:val="24"/>
                <w:szCs w:val="24"/>
              </w:rPr>
            </w:pPr>
          </w:p>
          <w:p w14:paraId="7B508F5F" w14:textId="5C9924B3" w:rsidR="00591636" w:rsidRDefault="00591636" w:rsidP="00591636">
            <w:pPr>
              <w:ind w:right="855"/>
              <w:jc w:val="both"/>
              <w:rPr>
                <w:sz w:val="24"/>
                <w:szCs w:val="24"/>
              </w:rPr>
            </w:pPr>
          </w:p>
          <w:p w14:paraId="7A21C429" w14:textId="7023C624" w:rsidR="00591636" w:rsidRPr="00DB04ED" w:rsidRDefault="00591636" w:rsidP="00591636">
            <w:pPr>
              <w:ind w:right="855"/>
              <w:jc w:val="both"/>
              <w:rPr>
                <w:sz w:val="24"/>
                <w:szCs w:val="24"/>
              </w:rPr>
            </w:pPr>
            <w:r>
              <w:rPr>
                <w:sz w:val="24"/>
                <w:szCs w:val="24"/>
              </w:rPr>
              <w:t>K.Timpars</w:t>
            </w:r>
          </w:p>
          <w:p w14:paraId="2750EA9D" w14:textId="77777777" w:rsidR="00797A77" w:rsidRPr="00DB04ED" w:rsidRDefault="00797A77" w:rsidP="00591636">
            <w:pPr>
              <w:jc w:val="both"/>
              <w:rPr>
                <w:sz w:val="24"/>
                <w:szCs w:val="24"/>
              </w:rPr>
            </w:pPr>
          </w:p>
          <w:p w14:paraId="6645504A" w14:textId="77777777" w:rsidR="00797A77" w:rsidRPr="00DB04ED" w:rsidRDefault="00797A77" w:rsidP="00591636">
            <w:pPr>
              <w:jc w:val="both"/>
              <w:rPr>
                <w:sz w:val="24"/>
                <w:szCs w:val="24"/>
              </w:rPr>
            </w:pPr>
          </w:p>
          <w:p w14:paraId="0C261D20" w14:textId="77777777" w:rsidR="00797A77" w:rsidRPr="00DB04ED" w:rsidRDefault="00797A77" w:rsidP="00591636">
            <w:pPr>
              <w:jc w:val="both"/>
              <w:rPr>
                <w:sz w:val="24"/>
                <w:szCs w:val="24"/>
              </w:rPr>
            </w:pPr>
          </w:p>
        </w:tc>
      </w:tr>
      <w:tr w:rsidR="00797A77" w:rsidRPr="00DB04ED" w14:paraId="77532841" w14:textId="77777777" w:rsidTr="00797A77">
        <w:trPr>
          <w:cantSplit/>
          <w:trHeight w:val="482"/>
        </w:trPr>
        <w:tc>
          <w:tcPr>
            <w:tcW w:w="3686" w:type="dxa"/>
          </w:tcPr>
          <w:p w14:paraId="2B3589D1" w14:textId="77777777" w:rsidR="00797A77" w:rsidRPr="00DB04ED" w:rsidRDefault="00797A77" w:rsidP="00591636">
            <w:pPr>
              <w:keepLines/>
              <w:jc w:val="both"/>
              <w:rPr>
                <w:sz w:val="24"/>
                <w:szCs w:val="24"/>
              </w:rPr>
            </w:pPr>
            <w:r w:rsidRPr="00DB04ED">
              <w:rPr>
                <w:sz w:val="24"/>
                <w:szCs w:val="24"/>
              </w:rPr>
              <w:t>Iepirkuma komisijas locekle,</w:t>
            </w:r>
          </w:p>
          <w:p w14:paraId="3FF4E4ED" w14:textId="77777777" w:rsidR="00797A77" w:rsidRPr="00DB04ED" w:rsidRDefault="00797A77" w:rsidP="00591636">
            <w:pPr>
              <w:keepLines/>
              <w:jc w:val="both"/>
              <w:rPr>
                <w:sz w:val="24"/>
                <w:szCs w:val="24"/>
              </w:rPr>
            </w:pPr>
            <w:r w:rsidRPr="00DB04ED">
              <w:rPr>
                <w:sz w:val="24"/>
                <w:szCs w:val="24"/>
              </w:rPr>
              <w:t>Iepirkuma komisijas sekretāre:</w:t>
            </w:r>
          </w:p>
        </w:tc>
        <w:tc>
          <w:tcPr>
            <w:tcW w:w="3578" w:type="dxa"/>
          </w:tcPr>
          <w:p w14:paraId="30FF354F" w14:textId="77777777" w:rsidR="00797A77" w:rsidRPr="00DB04ED" w:rsidRDefault="00797A77" w:rsidP="00591636">
            <w:pPr>
              <w:pStyle w:val="Heading3"/>
              <w:keepNext w:val="0"/>
              <w:keepLines/>
              <w:jc w:val="center"/>
              <w:rPr>
                <w:rFonts w:ascii="Times New Roman" w:hAnsi="Times New Roman"/>
                <w:szCs w:val="24"/>
              </w:rPr>
            </w:pPr>
          </w:p>
          <w:p w14:paraId="49ACF00A" w14:textId="77777777" w:rsidR="00797A77" w:rsidRPr="00DB04ED" w:rsidRDefault="00797A77" w:rsidP="00591636">
            <w:pPr>
              <w:keepLines/>
              <w:jc w:val="both"/>
              <w:rPr>
                <w:sz w:val="24"/>
                <w:szCs w:val="24"/>
              </w:rPr>
            </w:pPr>
          </w:p>
          <w:p w14:paraId="0A818F65" w14:textId="77777777" w:rsidR="00797A77" w:rsidRPr="00DB04ED" w:rsidRDefault="00797A77" w:rsidP="00591636">
            <w:pPr>
              <w:keepLines/>
              <w:jc w:val="both"/>
              <w:rPr>
                <w:sz w:val="24"/>
                <w:szCs w:val="24"/>
              </w:rPr>
            </w:pPr>
          </w:p>
        </w:tc>
        <w:tc>
          <w:tcPr>
            <w:tcW w:w="2301" w:type="dxa"/>
          </w:tcPr>
          <w:p w14:paraId="2766CE6A" w14:textId="77777777" w:rsidR="00797A77" w:rsidRPr="00DB04ED" w:rsidRDefault="00797A77" w:rsidP="00591636">
            <w:pPr>
              <w:pStyle w:val="Heading3"/>
              <w:rPr>
                <w:rFonts w:ascii="Times New Roman" w:hAnsi="Times New Roman"/>
                <w:szCs w:val="24"/>
              </w:rPr>
            </w:pPr>
          </w:p>
          <w:p w14:paraId="3D6332FC" w14:textId="4CCA478D" w:rsidR="00797A77" w:rsidRPr="00DB04ED" w:rsidRDefault="00797A77" w:rsidP="00591636">
            <w:pPr>
              <w:pStyle w:val="Heading3"/>
              <w:rPr>
                <w:rFonts w:ascii="Times New Roman" w:hAnsi="Times New Roman"/>
                <w:szCs w:val="24"/>
              </w:rPr>
            </w:pPr>
            <w:r w:rsidRPr="00DB04ED">
              <w:rPr>
                <w:rFonts w:ascii="Times New Roman" w:hAnsi="Times New Roman"/>
                <w:szCs w:val="24"/>
              </w:rPr>
              <w:t>I.Purmale</w:t>
            </w:r>
          </w:p>
        </w:tc>
      </w:tr>
    </w:tbl>
    <w:p w14:paraId="4C3C3B8D" w14:textId="77777777" w:rsidR="00856E28" w:rsidRPr="00443C99" w:rsidRDefault="00856E28" w:rsidP="00591636">
      <w:pPr>
        <w:pStyle w:val="BodyText2"/>
        <w:keepLines/>
        <w:tabs>
          <w:tab w:val="center" w:pos="4153"/>
        </w:tabs>
        <w:rPr>
          <w:rFonts w:ascii="Times New Roman" w:hAnsi="Times New Roman"/>
          <w:szCs w:val="24"/>
        </w:rPr>
      </w:pPr>
    </w:p>
    <w:sectPr w:rsidR="00856E28" w:rsidRPr="00443C99" w:rsidSect="007C4C4E">
      <w:footerReference w:type="default" r:id="rId9"/>
      <w:pgSz w:w="11906" w:h="16838"/>
      <w:pgMar w:top="851" w:right="141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94F1E" w14:textId="77777777" w:rsidR="007E1987" w:rsidRDefault="007E1987" w:rsidP="006D30C0">
      <w:r>
        <w:separator/>
      </w:r>
    </w:p>
  </w:endnote>
  <w:endnote w:type="continuationSeparator" w:id="0">
    <w:p w14:paraId="0B2911B1" w14:textId="77777777" w:rsidR="007E1987" w:rsidRDefault="007E1987"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7784"/>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3D78A6">
          <w:rPr>
            <w:noProof/>
          </w:rPr>
          <w:t>3</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8858" w14:textId="77777777" w:rsidR="007E1987" w:rsidRDefault="007E1987" w:rsidP="006D30C0">
      <w:r>
        <w:separator/>
      </w:r>
    </w:p>
  </w:footnote>
  <w:footnote w:type="continuationSeparator" w:id="0">
    <w:p w14:paraId="60A947A0" w14:textId="77777777" w:rsidR="007E1987" w:rsidRDefault="007E1987"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1C5B"/>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6561"/>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A78FD"/>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3A5A"/>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72"/>
    <w:rsid w:val="00125DBF"/>
    <w:rsid w:val="00126DC2"/>
    <w:rsid w:val="0013157C"/>
    <w:rsid w:val="00131EF5"/>
    <w:rsid w:val="001320EB"/>
    <w:rsid w:val="001359E5"/>
    <w:rsid w:val="00136305"/>
    <w:rsid w:val="00137391"/>
    <w:rsid w:val="00137D65"/>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6BD"/>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2F57"/>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0801"/>
    <w:rsid w:val="001D18C2"/>
    <w:rsid w:val="001D342E"/>
    <w:rsid w:val="001D394D"/>
    <w:rsid w:val="001D41A3"/>
    <w:rsid w:val="001D5C75"/>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12"/>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12E8"/>
    <w:rsid w:val="002325D8"/>
    <w:rsid w:val="002340C6"/>
    <w:rsid w:val="00234230"/>
    <w:rsid w:val="00234999"/>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6D8"/>
    <w:rsid w:val="002A5ACD"/>
    <w:rsid w:val="002B0541"/>
    <w:rsid w:val="002B12CD"/>
    <w:rsid w:val="002B12E9"/>
    <w:rsid w:val="002B15BD"/>
    <w:rsid w:val="002B31FE"/>
    <w:rsid w:val="002B3E07"/>
    <w:rsid w:val="002B4200"/>
    <w:rsid w:val="002B4E6C"/>
    <w:rsid w:val="002B5008"/>
    <w:rsid w:val="002B62F3"/>
    <w:rsid w:val="002B635A"/>
    <w:rsid w:val="002B659B"/>
    <w:rsid w:val="002B70CF"/>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0196"/>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1C41"/>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8A6"/>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513"/>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1182"/>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5ACC"/>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2CD3"/>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789"/>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636"/>
    <w:rsid w:val="00591E7F"/>
    <w:rsid w:val="005942FD"/>
    <w:rsid w:val="00595DBE"/>
    <w:rsid w:val="00595E1D"/>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2D7"/>
    <w:rsid w:val="005D68CB"/>
    <w:rsid w:val="005D6D8D"/>
    <w:rsid w:val="005D7794"/>
    <w:rsid w:val="005E3124"/>
    <w:rsid w:val="005E3639"/>
    <w:rsid w:val="005E4D56"/>
    <w:rsid w:val="005E54F1"/>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5CE6"/>
    <w:rsid w:val="006167D0"/>
    <w:rsid w:val="00617F5C"/>
    <w:rsid w:val="00621383"/>
    <w:rsid w:val="0062236F"/>
    <w:rsid w:val="00623D6C"/>
    <w:rsid w:val="006250DF"/>
    <w:rsid w:val="00625337"/>
    <w:rsid w:val="00625A03"/>
    <w:rsid w:val="00625D63"/>
    <w:rsid w:val="0062760B"/>
    <w:rsid w:val="00630EEA"/>
    <w:rsid w:val="006311D2"/>
    <w:rsid w:val="006313B4"/>
    <w:rsid w:val="00631966"/>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253"/>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4EBC"/>
    <w:rsid w:val="006E6821"/>
    <w:rsid w:val="006F0D9B"/>
    <w:rsid w:val="006F2290"/>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83D"/>
    <w:rsid w:val="00704ED6"/>
    <w:rsid w:val="00705178"/>
    <w:rsid w:val="0070567D"/>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2C4A"/>
    <w:rsid w:val="00744096"/>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8B8"/>
    <w:rsid w:val="00794C67"/>
    <w:rsid w:val="00794D7B"/>
    <w:rsid w:val="0079519A"/>
    <w:rsid w:val="00797605"/>
    <w:rsid w:val="00797A77"/>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4C4E"/>
    <w:rsid w:val="007C5A2D"/>
    <w:rsid w:val="007C6DC9"/>
    <w:rsid w:val="007D0838"/>
    <w:rsid w:val="007D10FB"/>
    <w:rsid w:val="007D25AC"/>
    <w:rsid w:val="007D3256"/>
    <w:rsid w:val="007D35ED"/>
    <w:rsid w:val="007D5329"/>
    <w:rsid w:val="007D6E61"/>
    <w:rsid w:val="007D77C3"/>
    <w:rsid w:val="007E092A"/>
    <w:rsid w:val="007E1987"/>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1A6"/>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0575"/>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C5981"/>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811"/>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A7D19"/>
    <w:rsid w:val="009B04C7"/>
    <w:rsid w:val="009B0816"/>
    <w:rsid w:val="009B179C"/>
    <w:rsid w:val="009B1978"/>
    <w:rsid w:val="009B2C52"/>
    <w:rsid w:val="009B300F"/>
    <w:rsid w:val="009B411A"/>
    <w:rsid w:val="009B46B7"/>
    <w:rsid w:val="009B5638"/>
    <w:rsid w:val="009B5804"/>
    <w:rsid w:val="009B620D"/>
    <w:rsid w:val="009B6314"/>
    <w:rsid w:val="009B71F1"/>
    <w:rsid w:val="009B741F"/>
    <w:rsid w:val="009C0229"/>
    <w:rsid w:val="009C0A45"/>
    <w:rsid w:val="009C3563"/>
    <w:rsid w:val="009C4600"/>
    <w:rsid w:val="009C6A85"/>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945"/>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118"/>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243"/>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0C60"/>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8A3"/>
    <w:rsid w:val="00B8399A"/>
    <w:rsid w:val="00B83CF5"/>
    <w:rsid w:val="00B840CD"/>
    <w:rsid w:val="00B8613C"/>
    <w:rsid w:val="00B8692E"/>
    <w:rsid w:val="00B86D1E"/>
    <w:rsid w:val="00B86D99"/>
    <w:rsid w:val="00B876E3"/>
    <w:rsid w:val="00B91443"/>
    <w:rsid w:val="00B92894"/>
    <w:rsid w:val="00B9310F"/>
    <w:rsid w:val="00B93C0E"/>
    <w:rsid w:val="00B94D28"/>
    <w:rsid w:val="00B963F7"/>
    <w:rsid w:val="00B96F5B"/>
    <w:rsid w:val="00B97BE3"/>
    <w:rsid w:val="00BA06CE"/>
    <w:rsid w:val="00BA3813"/>
    <w:rsid w:val="00BA3AE7"/>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1DC5"/>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27604"/>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6634C"/>
    <w:rsid w:val="00C66672"/>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97F62"/>
    <w:rsid w:val="00CA1825"/>
    <w:rsid w:val="00CB0CD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5A4"/>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1D05"/>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3D49"/>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45"/>
    <w:rsid w:val="00E52167"/>
    <w:rsid w:val="00E52BEB"/>
    <w:rsid w:val="00E56191"/>
    <w:rsid w:val="00E6060D"/>
    <w:rsid w:val="00E616C5"/>
    <w:rsid w:val="00E658FE"/>
    <w:rsid w:val="00E660CD"/>
    <w:rsid w:val="00E66CAE"/>
    <w:rsid w:val="00E674E5"/>
    <w:rsid w:val="00E67F4C"/>
    <w:rsid w:val="00E7047A"/>
    <w:rsid w:val="00E704E2"/>
    <w:rsid w:val="00E70ECB"/>
    <w:rsid w:val="00E7150F"/>
    <w:rsid w:val="00E7170F"/>
    <w:rsid w:val="00E71B87"/>
    <w:rsid w:val="00E74240"/>
    <w:rsid w:val="00E75069"/>
    <w:rsid w:val="00E7524F"/>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BEE"/>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16C21"/>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13F"/>
    <w:rsid w:val="00F419DB"/>
    <w:rsid w:val="00F41C0C"/>
    <w:rsid w:val="00F4202F"/>
    <w:rsid w:val="00F44443"/>
    <w:rsid w:val="00F4449C"/>
    <w:rsid w:val="00F44B97"/>
    <w:rsid w:val="00F46E25"/>
    <w:rsid w:val="00F472C6"/>
    <w:rsid w:val="00F50A7F"/>
    <w:rsid w:val="00F50D0E"/>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95D15"/>
    <w:rsid w:val="00F97EF1"/>
    <w:rsid w:val="00FA0C15"/>
    <w:rsid w:val="00FA2C65"/>
    <w:rsid w:val="00FA2FD2"/>
    <w:rsid w:val="00FA3F38"/>
    <w:rsid w:val="00FA5EA9"/>
    <w:rsid w:val="00FA5EE2"/>
    <w:rsid w:val="00FA7020"/>
    <w:rsid w:val="00FA7D8A"/>
    <w:rsid w:val="00FB0450"/>
    <w:rsid w:val="00FB04D5"/>
    <w:rsid w:val="00FB05F3"/>
    <w:rsid w:val="00FB1939"/>
    <w:rsid w:val="00FB3658"/>
    <w:rsid w:val="00FB3DDF"/>
    <w:rsid w:val="00FB49CD"/>
    <w:rsid w:val="00FB6B27"/>
    <w:rsid w:val="00FB74FA"/>
    <w:rsid w:val="00FB7BE8"/>
    <w:rsid w:val="00FB7F22"/>
    <w:rsid w:val="00FC0B66"/>
    <w:rsid w:val="00FC19EF"/>
    <w:rsid w:val="00FC1BE8"/>
    <w:rsid w:val="00FC373A"/>
    <w:rsid w:val="00FC3F20"/>
    <w:rsid w:val="00FC44ED"/>
    <w:rsid w:val="00FC4745"/>
    <w:rsid w:val="00FC4ABF"/>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ED9E-9651-4C72-81DE-3DD30A1D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4626</Words>
  <Characters>2638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2</cp:revision>
  <cp:lastPrinted>2018-10-30T13:40:00Z</cp:lastPrinted>
  <dcterms:created xsi:type="dcterms:W3CDTF">2019-01-16T06:34:00Z</dcterms:created>
  <dcterms:modified xsi:type="dcterms:W3CDTF">2019-01-16T06:34:00Z</dcterms:modified>
</cp:coreProperties>
</file>