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A1" w:rsidRDefault="00F422A1" w:rsidP="00F422A1">
      <w:pPr>
        <w:pStyle w:val="PlainText"/>
        <w:jc w:val="right"/>
        <w:rPr>
          <w:rFonts w:ascii="Times New Roman" w:hAnsi="Times New Roman"/>
          <w:b/>
          <w:sz w:val="24"/>
          <w:szCs w:val="24"/>
        </w:rPr>
      </w:pPr>
      <w:r>
        <w:rPr>
          <w:rFonts w:ascii="Times New Roman" w:hAnsi="Times New Roman"/>
          <w:b/>
          <w:sz w:val="24"/>
          <w:szCs w:val="24"/>
        </w:rPr>
        <w:t>IZRAKSTS</w:t>
      </w:r>
    </w:p>
    <w:p w:rsidR="00E511A2" w:rsidRPr="00F02313" w:rsidRDefault="00E511A2" w:rsidP="00F02313">
      <w:pPr>
        <w:pStyle w:val="PlainText"/>
        <w:jc w:val="center"/>
        <w:rPr>
          <w:rFonts w:ascii="Times New Roman" w:hAnsi="Times New Roman"/>
          <w:b/>
          <w:sz w:val="24"/>
          <w:szCs w:val="24"/>
        </w:rPr>
      </w:pPr>
      <w:r w:rsidRPr="00F02313">
        <w:rPr>
          <w:rFonts w:ascii="Times New Roman" w:hAnsi="Times New Roman"/>
          <w:b/>
          <w:sz w:val="24"/>
          <w:szCs w:val="24"/>
        </w:rPr>
        <w:t>Valsts akciju sabiedrības "Privatizācijas aģentūra"</w:t>
      </w:r>
    </w:p>
    <w:p w:rsidR="00E511A2" w:rsidRPr="00F02313" w:rsidRDefault="00E511A2" w:rsidP="00F02313">
      <w:pPr>
        <w:pStyle w:val="PlainText"/>
        <w:jc w:val="center"/>
        <w:rPr>
          <w:rFonts w:ascii="Times New Roman" w:hAnsi="Times New Roman"/>
          <w:b/>
          <w:sz w:val="24"/>
          <w:szCs w:val="24"/>
        </w:rPr>
      </w:pPr>
      <w:r w:rsidRPr="00F02313">
        <w:rPr>
          <w:rFonts w:ascii="Times New Roman" w:hAnsi="Times New Roman"/>
          <w:b/>
          <w:sz w:val="24"/>
          <w:szCs w:val="24"/>
        </w:rPr>
        <w:t>iepirkuma komisijas sēdes protokols</w:t>
      </w:r>
    </w:p>
    <w:p w:rsidR="009B71F1" w:rsidRPr="00F02313" w:rsidRDefault="009B71F1" w:rsidP="00F02313">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02313" w:rsidTr="00BD79AF">
        <w:tc>
          <w:tcPr>
            <w:tcW w:w="7621" w:type="dxa"/>
            <w:gridSpan w:val="2"/>
          </w:tcPr>
          <w:p w:rsidR="00E511A2" w:rsidRPr="00F02313" w:rsidRDefault="00E34FE4" w:rsidP="00F02313">
            <w:pPr>
              <w:jc w:val="both"/>
              <w:rPr>
                <w:b/>
                <w:sz w:val="24"/>
                <w:szCs w:val="24"/>
                <w:lang w:val="lv-LV"/>
              </w:rPr>
            </w:pPr>
            <w:r w:rsidRPr="00F02313">
              <w:rPr>
                <w:b/>
                <w:sz w:val="24"/>
                <w:szCs w:val="24"/>
                <w:lang w:val="lv-LV"/>
              </w:rPr>
              <w:t>201</w:t>
            </w:r>
            <w:r w:rsidR="00AD0B87" w:rsidRPr="00F02313">
              <w:rPr>
                <w:b/>
                <w:sz w:val="24"/>
                <w:szCs w:val="24"/>
                <w:lang w:val="lv-LV"/>
              </w:rPr>
              <w:t>7</w:t>
            </w:r>
            <w:r w:rsidR="00E511A2" w:rsidRPr="00F02313">
              <w:rPr>
                <w:b/>
                <w:sz w:val="24"/>
                <w:szCs w:val="24"/>
                <w:lang w:val="lv-LV"/>
              </w:rPr>
              <w:t xml:space="preserve">.gada </w:t>
            </w:r>
            <w:r w:rsidR="00687818">
              <w:rPr>
                <w:b/>
                <w:sz w:val="24"/>
                <w:szCs w:val="24"/>
                <w:lang w:val="lv-LV"/>
              </w:rPr>
              <w:t>13</w:t>
            </w:r>
            <w:r w:rsidR="00DA348A" w:rsidRPr="00F02313">
              <w:rPr>
                <w:b/>
                <w:sz w:val="24"/>
                <w:szCs w:val="24"/>
                <w:lang w:val="lv-LV"/>
              </w:rPr>
              <w:t>.septembrī</w:t>
            </w:r>
          </w:p>
          <w:p w:rsidR="009B71F1" w:rsidRPr="00F02313" w:rsidRDefault="009B71F1" w:rsidP="00F02313">
            <w:pPr>
              <w:jc w:val="both"/>
              <w:rPr>
                <w:b/>
                <w:sz w:val="24"/>
                <w:szCs w:val="24"/>
                <w:lang w:val="lv-LV"/>
              </w:rPr>
            </w:pPr>
          </w:p>
        </w:tc>
        <w:tc>
          <w:tcPr>
            <w:tcW w:w="1735" w:type="dxa"/>
          </w:tcPr>
          <w:p w:rsidR="00E511A2" w:rsidRPr="00F02313" w:rsidRDefault="00E34FE4" w:rsidP="00F02313">
            <w:pPr>
              <w:rPr>
                <w:b/>
                <w:sz w:val="24"/>
                <w:szCs w:val="24"/>
                <w:lang w:val="lv-LV"/>
              </w:rPr>
            </w:pPr>
            <w:r w:rsidRPr="00F02313">
              <w:rPr>
                <w:b/>
                <w:sz w:val="24"/>
                <w:szCs w:val="24"/>
                <w:lang w:val="lv-LV"/>
              </w:rPr>
              <w:t>Nr.</w:t>
            </w:r>
            <w:r w:rsidR="00901485" w:rsidRPr="00F02313">
              <w:rPr>
                <w:b/>
                <w:sz w:val="24"/>
                <w:szCs w:val="24"/>
                <w:lang w:val="lv-LV"/>
              </w:rPr>
              <w:t>5</w:t>
            </w:r>
            <w:r w:rsidR="00687818">
              <w:rPr>
                <w:b/>
                <w:sz w:val="24"/>
                <w:szCs w:val="24"/>
                <w:lang w:val="lv-LV"/>
              </w:rPr>
              <w:t>8</w:t>
            </w:r>
          </w:p>
        </w:tc>
      </w:tr>
      <w:tr w:rsidR="00A35232" w:rsidRPr="00F02313" w:rsidTr="00BD79AF">
        <w:tc>
          <w:tcPr>
            <w:tcW w:w="4361" w:type="dxa"/>
          </w:tcPr>
          <w:p w:rsidR="00A35232" w:rsidRPr="00F02313" w:rsidRDefault="00A35232" w:rsidP="00F02313">
            <w:pPr>
              <w:rPr>
                <w:sz w:val="24"/>
                <w:szCs w:val="24"/>
                <w:lang w:val="lv-LV"/>
              </w:rPr>
            </w:pPr>
            <w:r w:rsidRPr="00F02313">
              <w:rPr>
                <w:sz w:val="24"/>
                <w:szCs w:val="24"/>
                <w:lang w:val="lv-LV"/>
              </w:rPr>
              <w:t xml:space="preserve">Sēdi vada iepirkuma komisijas </w:t>
            </w:r>
            <w:r w:rsidR="00D82CBF">
              <w:rPr>
                <w:sz w:val="24"/>
                <w:szCs w:val="24"/>
                <w:lang w:val="lv-LV"/>
              </w:rPr>
              <w:t>priekšsēdētājs</w:t>
            </w:r>
            <w:r w:rsidRPr="00F02313">
              <w:rPr>
                <w:sz w:val="24"/>
                <w:szCs w:val="24"/>
                <w:lang w:val="lv-LV"/>
              </w:rPr>
              <w:t>:</w:t>
            </w:r>
          </w:p>
        </w:tc>
        <w:tc>
          <w:tcPr>
            <w:tcW w:w="4995" w:type="dxa"/>
            <w:gridSpan w:val="2"/>
          </w:tcPr>
          <w:p w:rsidR="00D82CBF" w:rsidRDefault="00D82CBF" w:rsidP="00F02313">
            <w:pPr>
              <w:pStyle w:val="Heading4"/>
              <w:spacing w:before="0" w:after="0"/>
              <w:ind w:right="0"/>
              <w:rPr>
                <w:szCs w:val="24"/>
              </w:rPr>
            </w:pPr>
          </w:p>
          <w:p w:rsidR="00A35232" w:rsidRPr="00F02313" w:rsidRDefault="00D82CBF" w:rsidP="00F02313">
            <w:pPr>
              <w:pStyle w:val="Heading4"/>
              <w:spacing w:before="0" w:after="0"/>
              <w:ind w:right="0"/>
              <w:rPr>
                <w:szCs w:val="24"/>
              </w:rPr>
            </w:pPr>
            <w:r>
              <w:rPr>
                <w:szCs w:val="24"/>
              </w:rPr>
              <w:t>Ģ.Freibergs</w:t>
            </w:r>
          </w:p>
        </w:tc>
      </w:tr>
      <w:tr w:rsidR="00A35232" w:rsidRPr="00F02313" w:rsidTr="00BD79AF">
        <w:tc>
          <w:tcPr>
            <w:tcW w:w="4361" w:type="dxa"/>
          </w:tcPr>
          <w:p w:rsidR="00DA348A" w:rsidRPr="00F02313" w:rsidRDefault="00DA348A" w:rsidP="00F02313">
            <w:pPr>
              <w:rPr>
                <w:sz w:val="24"/>
                <w:szCs w:val="24"/>
                <w:lang w:val="lv-LV"/>
              </w:rPr>
            </w:pPr>
          </w:p>
          <w:p w:rsidR="00A35232" w:rsidRPr="00F02313" w:rsidRDefault="00A35232" w:rsidP="00F02313">
            <w:pPr>
              <w:rPr>
                <w:sz w:val="24"/>
                <w:szCs w:val="24"/>
                <w:lang w:val="lv-LV"/>
              </w:rPr>
            </w:pPr>
            <w:r w:rsidRPr="00F02313">
              <w:rPr>
                <w:sz w:val="24"/>
                <w:szCs w:val="24"/>
                <w:lang w:val="lv-LV"/>
              </w:rPr>
              <w:t>Sēdē piedalās iepirkuma komisijas locekļi:</w:t>
            </w:r>
          </w:p>
        </w:tc>
        <w:tc>
          <w:tcPr>
            <w:tcW w:w="4995" w:type="dxa"/>
            <w:gridSpan w:val="2"/>
          </w:tcPr>
          <w:p w:rsidR="00F141B7" w:rsidRPr="00F02313" w:rsidRDefault="00F141B7" w:rsidP="00F02313">
            <w:pPr>
              <w:pStyle w:val="Heading8"/>
              <w:spacing w:before="0" w:after="0"/>
              <w:ind w:right="0"/>
              <w:rPr>
                <w:i w:val="0"/>
                <w:szCs w:val="24"/>
              </w:rPr>
            </w:pPr>
          </w:p>
          <w:p w:rsidR="00A35232" w:rsidRPr="00F02313" w:rsidRDefault="00D82CBF" w:rsidP="00F02313">
            <w:pPr>
              <w:pStyle w:val="Heading8"/>
              <w:spacing w:before="0" w:after="0"/>
              <w:ind w:right="0"/>
              <w:rPr>
                <w:i w:val="0"/>
                <w:szCs w:val="24"/>
              </w:rPr>
            </w:pPr>
            <w:r>
              <w:rPr>
                <w:i w:val="0"/>
                <w:szCs w:val="24"/>
              </w:rPr>
              <w:t>V.Ozoliņš</w:t>
            </w:r>
            <w:r w:rsidR="005D323C" w:rsidRPr="00F02313">
              <w:rPr>
                <w:i w:val="0"/>
                <w:szCs w:val="24"/>
              </w:rPr>
              <w:t>,</w:t>
            </w:r>
            <w:r w:rsidR="00FE55F6" w:rsidRPr="00F02313">
              <w:rPr>
                <w:i w:val="0"/>
                <w:szCs w:val="24"/>
              </w:rPr>
              <w:t xml:space="preserve"> K.Timpars</w:t>
            </w:r>
          </w:p>
        </w:tc>
      </w:tr>
      <w:tr w:rsidR="00A35232" w:rsidRPr="00F02313" w:rsidTr="00BD79AF">
        <w:tc>
          <w:tcPr>
            <w:tcW w:w="4361" w:type="dxa"/>
          </w:tcPr>
          <w:p w:rsidR="00D82CBF" w:rsidRDefault="00D82CBF" w:rsidP="00F02313">
            <w:pPr>
              <w:rPr>
                <w:sz w:val="24"/>
                <w:szCs w:val="24"/>
                <w:lang w:val="lv-LV"/>
              </w:rPr>
            </w:pPr>
          </w:p>
          <w:p w:rsidR="00A35232" w:rsidRPr="00F02313" w:rsidRDefault="00A35232" w:rsidP="00F02313">
            <w:pPr>
              <w:rPr>
                <w:sz w:val="24"/>
                <w:szCs w:val="24"/>
                <w:lang w:val="lv-LV"/>
              </w:rPr>
            </w:pPr>
            <w:r w:rsidRPr="00F02313">
              <w:rPr>
                <w:sz w:val="24"/>
                <w:szCs w:val="24"/>
                <w:lang w:val="lv-LV"/>
              </w:rPr>
              <w:t>Iepirkuma komisijas sēdi protokolē:</w:t>
            </w:r>
          </w:p>
        </w:tc>
        <w:tc>
          <w:tcPr>
            <w:tcW w:w="4995" w:type="dxa"/>
            <w:gridSpan w:val="2"/>
          </w:tcPr>
          <w:p w:rsidR="00A35232" w:rsidRPr="00F02313" w:rsidRDefault="00A35232" w:rsidP="00F02313">
            <w:pPr>
              <w:pStyle w:val="Heading8"/>
              <w:spacing w:before="0" w:after="0"/>
              <w:ind w:right="0"/>
              <w:rPr>
                <w:i w:val="0"/>
                <w:szCs w:val="24"/>
              </w:rPr>
            </w:pPr>
          </w:p>
          <w:p w:rsidR="00A35232" w:rsidRPr="00F02313" w:rsidRDefault="00D82CBF" w:rsidP="00F02313">
            <w:pPr>
              <w:pStyle w:val="Heading8"/>
              <w:spacing w:before="0" w:after="0"/>
              <w:ind w:right="0"/>
              <w:rPr>
                <w:i w:val="0"/>
                <w:szCs w:val="24"/>
              </w:rPr>
            </w:pPr>
            <w:r>
              <w:rPr>
                <w:i w:val="0"/>
                <w:szCs w:val="24"/>
              </w:rPr>
              <w:t>E.Jonāse</w:t>
            </w:r>
          </w:p>
        </w:tc>
      </w:tr>
      <w:tr w:rsidR="00C24204" w:rsidRPr="00F02313" w:rsidTr="00BD79AF">
        <w:tc>
          <w:tcPr>
            <w:tcW w:w="4361" w:type="dxa"/>
          </w:tcPr>
          <w:p w:rsidR="00C24204" w:rsidRPr="00F02313" w:rsidRDefault="00C24204" w:rsidP="00F02313">
            <w:pPr>
              <w:rPr>
                <w:sz w:val="24"/>
                <w:szCs w:val="24"/>
                <w:lang w:val="lv-LV"/>
              </w:rPr>
            </w:pPr>
          </w:p>
        </w:tc>
        <w:tc>
          <w:tcPr>
            <w:tcW w:w="4995" w:type="dxa"/>
            <w:gridSpan w:val="2"/>
          </w:tcPr>
          <w:p w:rsidR="00C24204" w:rsidRPr="00F02313" w:rsidRDefault="00C24204" w:rsidP="00F02313">
            <w:pPr>
              <w:pStyle w:val="Heading8"/>
              <w:spacing w:before="0" w:after="0"/>
              <w:ind w:right="0"/>
              <w:rPr>
                <w:i w:val="0"/>
                <w:szCs w:val="24"/>
              </w:rPr>
            </w:pPr>
          </w:p>
        </w:tc>
      </w:tr>
    </w:tbl>
    <w:p w:rsidR="00E511A2" w:rsidRPr="00F02313" w:rsidRDefault="00E511A2" w:rsidP="00F02313">
      <w:pPr>
        <w:rPr>
          <w:sz w:val="24"/>
          <w:szCs w:val="24"/>
          <w:lang w:val="lv-LV"/>
        </w:rPr>
      </w:pPr>
      <w:r w:rsidRPr="00F02313">
        <w:rPr>
          <w:sz w:val="24"/>
          <w:szCs w:val="24"/>
          <w:lang w:val="lv-LV"/>
        </w:rPr>
        <w:t>Sēde notiek Rīgā, K.Valdemāra ielā 31.</w:t>
      </w:r>
    </w:p>
    <w:p w:rsidR="00E511A2" w:rsidRPr="00F02313" w:rsidRDefault="00E511A2" w:rsidP="00F02313">
      <w:pPr>
        <w:rPr>
          <w:sz w:val="24"/>
          <w:szCs w:val="24"/>
          <w:lang w:val="lv-LV"/>
        </w:rPr>
      </w:pPr>
      <w:r w:rsidRPr="00F02313">
        <w:rPr>
          <w:sz w:val="24"/>
          <w:szCs w:val="24"/>
          <w:lang w:val="lv-LV"/>
        </w:rPr>
        <w:t>Sēde ir atklāta.</w:t>
      </w:r>
    </w:p>
    <w:p w:rsidR="00E511A2" w:rsidRPr="00F02313" w:rsidRDefault="00E511A2" w:rsidP="00F02313">
      <w:pPr>
        <w:rPr>
          <w:sz w:val="24"/>
          <w:szCs w:val="24"/>
          <w:lang w:val="lv-LV"/>
        </w:rPr>
      </w:pPr>
      <w:r w:rsidRPr="00F02313">
        <w:rPr>
          <w:sz w:val="24"/>
          <w:szCs w:val="24"/>
          <w:lang w:val="lv-LV"/>
        </w:rPr>
        <w:t xml:space="preserve">Sēde sākas plkst. </w:t>
      </w:r>
      <w:r w:rsidR="006B5048" w:rsidRPr="00F02313">
        <w:rPr>
          <w:sz w:val="24"/>
          <w:szCs w:val="24"/>
          <w:lang w:val="lv-LV"/>
        </w:rPr>
        <w:t>1</w:t>
      </w:r>
      <w:r w:rsidR="008233CD" w:rsidRPr="00F02313">
        <w:rPr>
          <w:sz w:val="24"/>
          <w:szCs w:val="24"/>
          <w:lang w:val="lv-LV"/>
        </w:rPr>
        <w:t>5</w:t>
      </w:r>
      <w:r w:rsidR="00B93C0E" w:rsidRPr="00F02313">
        <w:rPr>
          <w:sz w:val="24"/>
          <w:szCs w:val="24"/>
          <w:lang w:val="lv-LV"/>
        </w:rPr>
        <w:t>.</w:t>
      </w:r>
      <w:r w:rsidR="00DA348A" w:rsidRPr="00F02313">
        <w:rPr>
          <w:sz w:val="24"/>
          <w:szCs w:val="24"/>
          <w:lang w:val="lv-LV"/>
        </w:rPr>
        <w:t>0</w:t>
      </w:r>
      <w:r w:rsidR="00B93C0E" w:rsidRPr="00F02313">
        <w:rPr>
          <w:sz w:val="24"/>
          <w:szCs w:val="24"/>
          <w:lang w:val="lv-LV"/>
        </w:rPr>
        <w:t>0</w:t>
      </w:r>
      <w:r w:rsidR="003A0433" w:rsidRPr="00F02313">
        <w:rPr>
          <w:sz w:val="24"/>
          <w:szCs w:val="24"/>
          <w:lang w:val="lv-LV"/>
        </w:rPr>
        <w:t>.</w:t>
      </w:r>
    </w:p>
    <w:p w:rsidR="00E511A2" w:rsidRPr="00F02313" w:rsidRDefault="00E511A2" w:rsidP="00F02313">
      <w:pPr>
        <w:rPr>
          <w:b/>
          <w:sz w:val="24"/>
          <w:szCs w:val="24"/>
          <w:lang w:val="lv-LV"/>
        </w:rPr>
      </w:pPr>
    </w:p>
    <w:p w:rsidR="00E511A2" w:rsidRPr="00F02313" w:rsidRDefault="00E511A2" w:rsidP="00F02313">
      <w:pPr>
        <w:rPr>
          <w:b/>
          <w:sz w:val="24"/>
          <w:szCs w:val="24"/>
          <w:lang w:val="lv-LV"/>
        </w:rPr>
      </w:pPr>
      <w:r w:rsidRPr="00F02313">
        <w:rPr>
          <w:b/>
          <w:sz w:val="24"/>
          <w:szCs w:val="24"/>
          <w:lang w:val="lv-LV"/>
        </w:rPr>
        <w:t>Iepirkuma komisijas sēdes organizatoriskie jautājumi:</w:t>
      </w:r>
    </w:p>
    <w:p w:rsidR="00E511A2" w:rsidRPr="00F02313" w:rsidRDefault="007A7999" w:rsidP="00F02313">
      <w:pPr>
        <w:pStyle w:val="Header"/>
        <w:tabs>
          <w:tab w:val="left" w:pos="720"/>
        </w:tabs>
        <w:jc w:val="both"/>
        <w:rPr>
          <w:rFonts w:ascii="Times New Roman" w:hAnsi="Times New Roman"/>
          <w:sz w:val="24"/>
          <w:szCs w:val="24"/>
          <w:lang w:val="lv-LV"/>
        </w:rPr>
      </w:pPr>
      <w:r w:rsidRPr="00F02313">
        <w:rPr>
          <w:rFonts w:ascii="Times New Roman" w:hAnsi="Times New Roman"/>
          <w:sz w:val="24"/>
          <w:szCs w:val="24"/>
          <w:lang w:val="lv-LV"/>
        </w:rPr>
        <w:t xml:space="preserve">Iepirkuma komisijas sēdes vadītājs konstatē, ka sēdē piedalās </w:t>
      </w:r>
      <w:r w:rsidR="00DA348A" w:rsidRPr="00F02313">
        <w:rPr>
          <w:rFonts w:ascii="Times New Roman" w:hAnsi="Times New Roman"/>
          <w:sz w:val="24"/>
          <w:szCs w:val="24"/>
          <w:lang w:val="lv-LV"/>
        </w:rPr>
        <w:t>trīs</w:t>
      </w:r>
      <w:r w:rsidRPr="00F02313">
        <w:rPr>
          <w:rFonts w:ascii="Times New Roman" w:hAnsi="Times New Roman"/>
          <w:sz w:val="24"/>
          <w:szCs w:val="24"/>
          <w:lang w:val="lv-LV"/>
        </w:rPr>
        <w:t xml:space="preserve"> komisijas locekļi, un iepirkuma komisija šajā sēdē ir lemttiesīga</w:t>
      </w:r>
      <w:r w:rsidR="00E511A2" w:rsidRPr="00F02313">
        <w:rPr>
          <w:rFonts w:ascii="Times New Roman" w:hAnsi="Times New Roman"/>
          <w:sz w:val="24"/>
          <w:szCs w:val="24"/>
          <w:lang w:val="lv-LV"/>
        </w:rPr>
        <w:t>.</w:t>
      </w:r>
    </w:p>
    <w:p w:rsidR="009B71F1" w:rsidRPr="00F02313" w:rsidRDefault="009B71F1" w:rsidP="00F02313">
      <w:pPr>
        <w:pStyle w:val="Header"/>
        <w:tabs>
          <w:tab w:val="left" w:pos="720"/>
        </w:tabs>
        <w:jc w:val="both"/>
        <w:rPr>
          <w:rFonts w:ascii="Times New Roman" w:hAnsi="Times New Roman"/>
          <w:sz w:val="24"/>
          <w:szCs w:val="24"/>
          <w:lang w:val="lv-LV"/>
        </w:rPr>
      </w:pPr>
    </w:p>
    <w:p w:rsidR="00E511A2" w:rsidRPr="00F02313" w:rsidRDefault="00E511A2" w:rsidP="00F02313">
      <w:pPr>
        <w:pStyle w:val="Header"/>
        <w:tabs>
          <w:tab w:val="left" w:pos="720"/>
        </w:tabs>
        <w:jc w:val="both"/>
        <w:rPr>
          <w:rFonts w:ascii="Times New Roman" w:hAnsi="Times New Roman"/>
          <w:sz w:val="24"/>
          <w:szCs w:val="24"/>
          <w:lang w:val="lv-LV"/>
        </w:rPr>
      </w:pPr>
      <w:r w:rsidRPr="00F02313">
        <w:rPr>
          <w:rFonts w:ascii="Times New Roman" w:hAnsi="Times New Roman"/>
          <w:sz w:val="24"/>
          <w:szCs w:val="24"/>
          <w:lang w:val="lv-LV"/>
        </w:rPr>
        <w:t>Iepirkuma komisija nolemj apstiprināt šādu darba kārtību:</w:t>
      </w:r>
    </w:p>
    <w:p w:rsidR="00F02313" w:rsidRDefault="00F02313" w:rsidP="00F02313">
      <w:pPr>
        <w:pStyle w:val="BodyText2"/>
        <w:ind w:firstLine="720"/>
        <w:rPr>
          <w:rFonts w:ascii="Times New Roman" w:hAnsi="Times New Roman"/>
          <w:szCs w:val="24"/>
        </w:rPr>
      </w:pPr>
      <w:bookmarkStart w:id="0" w:name="id21000244"/>
    </w:p>
    <w:p w:rsidR="00D82CBF" w:rsidRDefault="00F422A1" w:rsidP="00F422A1">
      <w:pPr>
        <w:pStyle w:val="BodyText2"/>
        <w:ind w:firstLine="720"/>
        <w:rPr>
          <w:rFonts w:ascii="Times New Roman" w:hAnsi="Times New Roman"/>
          <w:szCs w:val="24"/>
        </w:rPr>
      </w:pPr>
      <w:r>
        <w:rPr>
          <w:rFonts w:ascii="Times New Roman" w:hAnsi="Times New Roman"/>
          <w:szCs w:val="24"/>
        </w:rPr>
        <w:t xml:space="preserve">[..] </w:t>
      </w:r>
    </w:p>
    <w:p w:rsidR="00F02313" w:rsidRDefault="00D82CBF" w:rsidP="00F02313">
      <w:pPr>
        <w:pStyle w:val="BodyText2"/>
        <w:ind w:firstLine="720"/>
      </w:pPr>
      <w:r>
        <w:rPr>
          <w:rFonts w:ascii="Times New Roman" w:hAnsi="Times New Roman"/>
          <w:szCs w:val="24"/>
        </w:rPr>
        <w:t>4</w:t>
      </w:r>
      <w:r w:rsidR="00F02313">
        <w:rPr>
          <w:rFonts w:ascii="Times New Roman" w:hAnsi="Times New Roman"/>
          <w:szCs w:val="24"/>
        </w:rPr>
        <w:t xml:space="preserve">. </w:t>
      </w:r>
      <w:bookmarkStart w:id="1" w:name="id21000671"/>
      <w:r w:rsidRPr="00F52470">
        <w:t xml:space="preserve">Par iepirkumam “VAS </w:t>
      </w:r>
      <w:bookmarkEnd w:id="1"/>
      <w:r w:rsidRPr="00F52470">
        <w:t>"Privatizācijas aģentūra" ēku un teritorijas K.Valdemāra ielā 31, Rīgā, apsardze” (PA/2017/74) iesniegto piedāvājumu vērtēšanu un iepirkuma rezultāta apstiprināšanu</w:t>
      </w:r>
      <w:r w:rsidR="00F02313">
        <w:t>.</w:t>
      </w:r>
    </w:p>
    <w:p w:rsidR="00F02313" w:rsidRPr="00F02313" w:rsidRDefault="00F02313" w:rsidP="00F02313">
      <w:pPr>
        <w:pStyle w:val="BodyText2"/>
        <w:ind w:firstLine="720"/>
        <w:rPr>
          <w:rFonts w:ascii="Times New Roman" w:hAnsi="Times New Roman"/>
          <w:szCs w:val="24"/>
        </w:rPr>
      </w:pPr>
      <w:r>
        <w:t xml:space="preserve">Ziņo: </w:t>
      </w:r>
      <w:r w:rsidR="00D82CBF">
        <w:t>Ģ.Freibergs</w:t>
      </w:r>
    </w:p>
    <w:p w:rsidR="003F0A1C" w:rsidRPr="00F02313" w:rsidRDefault="003F0A1C" w:rsidP="00F02313">
      <w:pPr>
        <w:pStyle w:val="BodyText2"/>
        <w:ind w:firstLine="720"/>
        <w:rPr>
          <w:rFonts w:ascii="Times New Roman" w:hAnsi="Times New Roman"/>
          <w:szCs w:val="24"/>
        </w:rPr>
      </w:pPr>
      <w:r w:rsidRPr="00F02313">
        <w:rPr>
          <w:rFonts w:ascii="Times New Roman" w:hAnsi="Times New Roman"/>
          <w:szCs w:val="24"/>
        </w:rPr>
        <w:t>Par:</w:t>
      </w:r>
      <w:r w:rsidRPr="00F02313">
        <w:rPr>
          <w:rFonts w:ascii="Times New Roman" w:hAnsi="Times New Roman"/>
          <w:szCs w:val="24"/>
        </w:rPr>
        <w:tab/>
      </w:r>
      <w:r w:rsidR="00D82CBF">
        <w:rPr>
          <w:rFonts w:ascii="Times New Roman" w:hAnsi="Times New Roman"/>
          <w:szCs w:val="24"/>
        </w:rPr>
        <w:t>Ģ.Freibergs</w:t>
      </w:r>
      <w:r w:rsidR="001E3863" w:rsidRPr="00F02313">
        <w:rPr>
          <w:rFonts w:ascii="Times New Roman" w:hAnsi="Times New Roman"/>
          <w:szCs w:val="24"/>
        </w:rPr>
        <w:t xml:space="preserve">, </w:t>
      </w:r>
      <w:r w:rsidR="00901485" w:rsidRPr="00F02313">
        <w:rPr>
          <w:rFonts w:ascii="Times New Roman" w:hAnsi="Times New Roman"/>
          <w:szCs w:val="24"/>
        </w:rPr>
        <w:t>V.Ozoliņš</w:t>
      </w:r>
      <w:r w:rsidR="00FE55F6" w:rsidRPr="00F02313">
        <w:rPr>
          <w:rFonts w:ascii="Times New Roman" w:hAnsi="Times New Roman"/>
          <w:szCs w:val="24"/>
        </w:rPr>
        <w:t>, K.Timpars</w:t>
      </w:r>
    </w:p>
    <w:p w:rsidR="003F0A1C" w:rsidRPr="00F02313" w:rsidRDefault="003F0A1C" w:rsidP="00F02313">
      <w:pPr>
        <w:keepLines/>
        <w:tabs>
          <w:tab w:val="left" w:pos="709"/>
        </w:tabs>
        <w:rPr>
          <w:sz w:val="24"/>
          <w:szCs w:val="24"/>
          <w:lang w:val="lv-LV"/>
        </w:rPr>
      </w:pPr>
      <w:r w:rsidRPr="00F02313">
        <w:rPr>
          <w:sz w:val="24"/>
          <w:szCs w:val="24"/>
          <w:lang w:val="lv-LV"/>
        </w:rPr>
        <w:tab/>
        <w:t xml:space="preserve">Pret: </w:t>
      </w:r>
      <w:r w:rsidRPr="00F02313">
        <w:rPr>
          <w:sz w:val="24"/>
          <w:szCs w:val="24"/>
          <w:lang w:val="lv-LV"/>
        </w:rPr>
        <w:tab/>
        <w:t>nav</w:t>
      </w:r>
    </w:p>
    <w:p w:rsidR="003F0A1C" w:rsidRPr="00F02313" w:rsidRDefault="003F0A1C" w:rsidP="00F02313">
      <w:pPr>
        <w:ind w:firstLine="720"/>
        <w:rPr>
          <w:sz w:val="24"/>
          <w:szCs w:val="24"/>
          <w:lang w:val="lv-LV"/>
        </w:rPr>
      </w:pPr>
      <w:r w:rsidRPr="00F02313">
        <w:rPr>
          <w:sz w:val="24"/>
          <w:szCs w:val="24"/>
          <w:lang w:val="lv-LV"/>
        </w:rPr>
        <w:t>Lēmums pieņemts vienbalsīgi.</w:t>
      </w:r>
    </w:p>
    <w:p w:rsidR="00CD4006" w:rsidRPr="00F02313" w:rsidRDefault="00CD4006" w:rsidP="00F02313">
      <w:pPr>
        <w:keepLines/>
        <w:jc w:val="both"/>
        <w:rPr>
          <w:sz w:val="24"/>
          <w:szCs w:val="24"/>
          <w:lang w:val="lv-LV"/>
        </w:rPr>
      </w:pPr>
    </w:p>
    <w:bookmarkEnd w:id="0"/>
    <w:p w:rsidR="004669D8" w:rsidRDefault="004669D8" w:rsidP="00F02313">
      <w:pPr>
        <w:keepLines/>
        <w:tabs>
          <w:tab w:val="left" w:pos="709"/>
        </w:tabs>
        <w:rPr>
          <w:sz w:val="24"/>
          <w:szCs w:val="24"/>
          <w:lang w:val="lv-LV"/>
        </w:rPr>
      </w:pPr>
    </w:p>
    <w:p w:rsidR="00F3349F" w:rsidRPr="00576794" w:rsidRDefault="00D82CBF" w:rsidP="00F422A1">
      <w:pPr>
        <w:keepLines/>
        <w:tabs>
          <w:tab w:val="left" w:pos="709"/>
        </w:tabs>
        <w:jc w:val="both"/>
        <w:rPr>
          <w:sz w:val="24"/>
          <w:szCs w:val="24"/>
          <w:lang w:val="lv-LV"/>
        </w:rPr>
      </w:pPr>
      <w:r>
        <w:rPr>
          <w:sz w:val="24"/>
          <w:szCs w:val="24"/>
          <w:lang w:val="lv-LV"/>
        </w:rPr>
        <w:tab/>
      </w:r>
      <w:r w:rsidR="00F422A1">
        <w:rPr>
          <w:sz w:val="24"/>
          <w:szCs w:val="24"/>
          <w:lang w:val="lv-LV"/>
        </w:rPr>
        <w:t xml:space="preserve">[..] </w:t>
      </w:r>
    </w:p>
    <w:p w:rsidR="00D82CBF" w:rsidRDefault="00D82CBF" w:rsidP="00F3349F">
      <w:pPr>
        <w:keepLines/>
        <w:tabs>
          <w:tab w:val="left" w:pos="709"/>
        </w:tabs>
        <w:rPr>
          <w:sz w:val="24"/>
          <w:szCs w:val="24"/>
          <w:lang w:val="lv-LV"/>
        </w:rPr>
      </w:pPr>
    </w:p>
    <w:p w:rsidR="004033DB" w:rsidRDefault="00223157" w:rsidP="004033DB">
      <w:pPr>
        <w:pStyle w:val="BodyText2"/>
        <w:ind w:firstLine="720"/>
      </w:pPr>
      <w:r>
        <w:rPr>
          <w:rFonts w:ascii="Times New Roman" w:hAnsi="Times New Roman"/>
          <w:szCs w:val="24"/>
        </w:rPr>
        <w:t>4</w:t>
      </w:r>
      <w:r w:rsidR="004033DB">
        <w:rPr>
          <w:rFonts w:ascii="Times New Roman" w:hAnsi="Times New Roman"/>
          <w:szCs w:val="24"/>
        </w:rPr>
        <w:t xml:space="preserve">. </w:t>
      </w:r>
      <w:r w:rsidR="004033DB">
        <w:t xml:space="preserve">Par iepirkumam “VAS "Privatizācijas aģentūra" ēku un teritorijas K.Valdemāra ielā 31, Rīgā, apsardze” (PA/2017/74) iesniegto piedāvājumu </w:t>
      </w:r>
      <w:r w:rsidR="00687818">
        <w:t xml:space="preserve">un papildus informācijas </w:t>
      </w:r>
      <w:r w:rsidR="004033DB">
        <w:t>vērtēšanu.</w:t>
      </w:r>
    </w:p>
    <w:p w:rsidR="004033DB" w:rsidRPr="00F02313" w:rsidRDefault="004033DB" w:rsidP="004033DB">
      <w:pPr>
        <w:pStyle w:val="BodyText2"/>
        <w:ind w:firstLine="720"/>
        <w:rPr>
          <w:rFonts w:ascii="Times New Roman" w:hAnsi="Times New Roman"/>
          <w:szCs w:val="24"/>
        </w:rPr>
      </w:pPr>
      <w:r>
        <w:t>Ziņo: I.Purmale</w:t>
      </w:r>
    </w:p>
    <w:p w:rsidR="004033DB" w:rsidRPr="00F02313" w:rsidRDefault="004033DB" w:rsidP="004033DB">
      <w:pPr>
        <w:pStyle w:val="BodyText2"/>
        <w:ind w:firstLine="720"/>
        <w:rPr>
          <w:rFonts w:ascii="Times New Roman" w:hAnsi="Times New Roman"/>
          <w:b/>
          <w:szCs w:val="24"/>
        </w:rPr>
      </w:pPr>
      <w:r w:rsidRPr="00F02313">
        <w:rPr>
          <w:rFonts w:ascii="Times New Roman" w:hAnsi="Times New Roman"/>
          <w:b/>
          <w:szCs w:val="24"/>
        </w:rPr>
        <w:t>NOLĒMA:</w:t>
      </w:r>
    </w:p>
    <w:p w:rsidR="00611F9A" w:rsidRDefault="004033DB" w:rsidP="004033DB">
      <w:pPr>
        <w:keepLines/>
        <w:tabs>
          <w:tab w:val="left" w:pos="709"/>
        </w:tabs>
        <w:jc w:val="both"/>
        <w:rPr>
          <w:sz w:val="24"/>
          <w:szCs w:val="24"/>
          <w:lang w:val="lv-LV"/>
        </w:rPr>
      </w:pPr>
      <w:r>
        <w:rPr>
          <w:sz w:val="24"/>
          <w:szCs w:val="24"/>
          <w:lang w:val="lv-LV"/>
        </w:rPr>
        <w:tab/>
      </w:r>
      <w:r w:rsidR="00223157">
        <w:rPr>
          <w:sz w:val="24"/>
          <w:szCs w:val="24"/>
          <w:lang w:val="lv-LV"/>
        </w:rPr>
        <w:t>4</w:t>
      </w:r>
      <w:r w:rsidRPr="004033DB">
        <w:rPr>
          <w:sz w:val="24"/>
          <w:szCs w:val="24"/>
          <w:lang w:val="lv-LV"/>
        </w:rPr>
        <w:t>.1. Pieņemt zināšanai</w:t>
      </w:r>
      <w:r w:rsidR="00687818">
        <w:rPr>
          <w:sz w:val="24"/>
          <w:szCs w:val="24"/>
          <w:lang w:val="lv-LV"/>
        </w:rPr>
        <w:t xml:space="preserve"> 2017.gada 8.septembrī pretendenta SIA RK “NIVIOS-LTD” papildus sniegto informāciju par </w:t>
      </w:r>
      <w:r w:rsidR="00687818" w:rsidRPr="000D65B6">
        <w:rPr>
          <w:sz w:val="24"/>
          <w:szCs w:val="24"/>
          <w:lang w:val="lv-LV"/>
        </w:rPr>
        <w:t>Konkurences likuma 11.panta pirm</w:t>
      </w:r>
      <w:r w:rsidR="00687818">
        <w:rPr>
          <w:sz w:val="24"/>
          <w:szCs w:val="24"/>
          <w:lang w:val="lv-LV"/>
        </w:rPr>
        <w:t>ās</w:t>
      </w:r>
      <w:r w:rsidR="00687818" w:rsidRPr="000D65B6">
        <w:rPr>
          <w:sz w:val="24"/>
          <w:szCs w:val="24"/>
          <w:lang w:val="lv-LV"/>
        </w:rPr>
        <w:t xml:space="preserve"> daļ</w:t>
      </w:r>
      <w:r w:rsidR="00687818">
        <w:rPr>
          <w:sz w:val="24"/>
          <w:szCs w:val="24"/>
          <w:lang w:val="lv-LV"/>
        </w:rPr>
        <w:t>as</w:t>
      </w:r>
      <w:r w:rsidR="00687818" w:rsidRPr="000D65B6">
        <w:rPr>
          <w:sz w:val="24"/>
          <w:szCs w:val="24"/>
          <w:lang w:val="lv-LV"/>
        </w:rPr>
        <w:t xml:space="preserve"> pārkāpumi</w:t>
      </w:r>
      <w:r w:rsidR="00687818">
        <w:rPr>
          <w:sz w:val="24"/>
          <w:szCs w:val="24"/>
          <w:lang w:val="lv-LV"/>
        </w:rPr>
        <w:t>em:</w:t>
      </w:r>
    </w:p>
    <w:p w:rsidR="008004D6" w:rsidRDefault="00687818" w:rsidP="00F422A1">
      <w:pPr>
        <w:keepLines/>
        <w:tabs>
          <w:tab w:val="left" w:pos="709"/>
        </w:tabs>
        <w:jc w:val="both"/>
        <w:rPr>
          <w:sz w:val="24"/>
          <w:szCs w:val="24"/>
          <w:lang w:val="lv-LV"/>
        </w:rPr>
      </w:pPr>
      <w:r>
        <w:rPr>
          <w:sz w:val="24"/>
          <w:szCs w:val="24"/>
          <w:lang w:val="lv-LV"/>
        </w:rPr>
        <w:tab/>
      </w:r>
      <w:r w:rsidR="00F422A1">
        <w:rPr>
          <w:sz w:val="24"/>
          <w:szCs w:val="24"/>
          <w:lang w:val="lv-LV"/>
        </w:rPr>
        <w:t xml:space="preserve">[..] </w:t>
      </w:r>
    </w:p>
    <w:p w:rsidR="00721046" w:rsidRDefault="00223157" w:rsidP="00721046">
      <w:pPr>
        <w:ind w:firstLine="709"/>
        <w:jc w:val="both"/>
        <w:rPr>
          <w:sz w:val="24"/>
          <w:szCs w:val="24"/>
          <w:lang w:val="lv-LV"/>
        </w:rPr>
      </w:pPr>
      <w:r>
        <w:rPr>
          <w:sz w:val="24"/>
          <w:szCs w:val="24"/>
          <w:lang w:val="lv-LV"/>
        </w:rPr>
        <w:t>4</w:t>
      </w:r>
      <w:r w:rsidR="004033DB">
        <w:rPr>
          <w:sz w:val="24"/>
          <w:szCs w:val="24"/>
          <w:lang w:val="lv-LV"/>
        </w:rPr>
        <w:t>.</w:t>
      </w:r>
      <w:r w:rsidR="008004D6">
        <w:rPr>
          <w:sz w:val="24"/>
          <w:szCs w:val="24"/>
          <w:lang w:val="lv-LV"/>
        </w:rPr>
        <w:t>4</w:t>
      </w:r>
      <w:r w:rsidR="004033DB">
        <w:rPr>
          <w:sz w:val="24"/>
          <w:szCs w:val="24"/>
          <w:lang w:val="lv-LV"/>
        </w:rPr>
        <w:t xml:space="preserve">. </w:t>
      </w:r>
      <w:r w:rsidR="000D65B6">
        <w:rPr>
          <w:sz w:val="24"/>
          <w:szCs w:val="24"/>
          <w:lang w:val="lv-LV"/>
        </w:rPr>
        <w:t>Pieņemt zināšanai, ka s</w:t>
      </w:r>
      <w:r w:rsidR="004033DB">
        <w:rPr>
          <w:sz w:val="24"/>
          <w:szCs w:val="24"/>
          <w:lang w:val="lv-LV"/>
        </w:rPr>
        <w:t xml:space="preserve">askaņā ar </w:t>
      </w:r>
      <w:r w:rsidR="00721046" w:rsidRPr="00721046">
        <w:rPr>
          <w:sz w:val="24"/>
          <w:szCs w:val="24"/>
          <w:lang w:val="lv-LV"/>
        </w:rPr>
        <w:t>Konkurences likuma 27.</w:t>
      </w:r>
      <w:r w:rsidR="00721046" w:rsidRPr="00721046">
        <w:rPr>
          <w:sz w:val="24"/>
          <w:szCs w:val="24"/>
          <w:vertAlign w:val="superscript"/>
          <w:lang w:val="lv-LV"/>
        </w:rPr>
        <w:t>1</w:t>
      </w:r>
      <w:r w:rsidR="00721046" w:rsidRPr="00721046">
        <w:rPr>
          <w:sz w:val="24"/>
          <w:szCs w:val="24"/>
          <w:lang w:val="lv-LV"/>
        </w:rPr>
        <w:t xml:space="preserve"> pantu Konkurences padomes lēmums stāja</w:t>
      </w:r>
      <w:r w:rsidR="00721046">
        <w:rPr>
          <w:sz w:val="24"/>
          <w:szCs w:val="24"/>
          <w:lang w:val="lv-LV"/>
        </w:rPr>
        <w:t>s spēkā ar tā paziņošanas brīdi un</w:t>
      </w:r>
      <w:r w:rsidR="00721046" w:rsidRPr="00721046">
        <w:rPr>
          <w:sz w:val="24"/>
          <w:szCs w:val="24"/>
          <w:lang w:val="lv-LV"/>
        </w:rPr>
        <w:t xml:space="preserve"> </w:t>
      </w:r>
      <w:r w:rsidR="00721046">
        <w:rPr>
          <w:sz w:val="24"/>
          <w:szCs w:val="24"/>
          <w:lang w:val="lv-LV"/>
        </w:rPr>
        <w:t>l</w:t>
      </w:r>
      <w:r w:rsidR="00721046" w:rsidRPr="00721046">
        <w:rPr>
          <w:bCs/>
          <w:sz w:val="24"/>
          <w:szCs w:val="24"/>
          <w:lang w:val="lv-LV"/>
        </w:rPr>
        <w:t>ēmuma pārsūdzēšana neaptur tā izpildi, izņemot lēmuma darbību daļā par soda uzlikšanu</w:t>
      </w:r>
      <w:r w:rsidR="00721046" w:rsidRPr="00721046">
        <w:rPr>
          <w:sz w:val="24"/>
          <w:szCs w:val="24"/>
          <w:lang w:val="lv-LV"/>
        </w:rPr>
        <w:t>.</w:t>
      </w:r>
      <w:r w:rsidR="00721046">
        <w:rPr>
          <w:sz w:val="24"/>
          <w:szCs w:val="24"/>
          <w:lang w:val="lv-LV"/>
        </w:rPr>
        <w:t xml:space="preserve"> </w:t>
      </w:r>
      <w:r w:rsidR="00721046" w:rsidRPr="00721046">
        <w:rPr>
          <w:sz w:val="24"/>
          <w:szCs w:val="24"/>
          <w:lang w:val="lv-LV"/>
        </w:rPr>
        <w:t xml:space="preserve">Līdz ar to, kamēr </w:t>
      </w:r>
      <w:r w:rsidR="00721046">
        <w:rPr>
          <w:sz w:val="24"/>
          <w:szCs w:val="24"/>
          <w:lang w:val="lv-LV"/>
        </w:rPr>
        <w:t xml:space="preserve">SIA RK “NIVIOS-LTD” </w:t>
      </w:r>
      <w:r w:rsidR="00721046" w:rsidRPr="00721046">
        <w:rPr>
          <w:sz w:val="24"/>
          <w:szCs w:val="24"/>
          <w:lang w:val="lv-LV"/>
        </w:rPr>
        <w:t xml:space="preserve">lietā nestāsies spēkā spriedums, kas to attaisno, </w:t>
      </w:r>
      <w:r w:rsidR="00721046">
        <w:rPr>
          <w:sz w:val="24"/>
          <w:szCs w:val="24"/>
          <w:lang w:val="lv-LV"/>
        </w:rPr>
        <w:t xml:space="preserve">SIA RK “NIVIOS-LTD” </w:t>
      </w:r>
      <w:r w:rsidR="00721046" w:rsidRPr="00721046">
        <w:rPr>
          <w:sz w:val="24"/>
          <w:szCs w:val="24"/>
          <w:lang w:val="lv-LV"/>
        </w:rPr>
        <w:t xml:space="preserve">ir pārkāpējs atbilstoši Konkurences likuma 11.panta pirmajai daļai. </w:t>
      </w:r>
    </w:p>
    <w:p w:rsidR="00A07AFF" w:rsidRDefault="00F422A1" w:rsidP="00A07AFF">
      <w:pPr>
        <w:ind w:firstLine="720"/>
        <w:jc w:val="both"/>
        <w:rPr>
          <w:sz w:val="24"/>
          <w:szCs w:val="24"/>
          <w:lang w:val="lv-LV"/>
        </w:rPr>
      </w:pPr>
      <w:r>
        <w:rPr>
          <w:sz w:val="24"/>
          <w:szCs w:val="24"/>
          <w:lang w:val="lv-LV"/>
        </w:rPr>
        <w:t xml:space="preserve">[..] </w:t>
      </w:r>
    </w:p>
    <w:p w:rsidR="00154A5C" w:rsidRDefault="00223157" w:rsidP="00721046">
      <w:pPr>
        <w:ind w:firstLine="709"/>
        <w:jc w:val="both"/>
        <w:rPr>
          <w:sz w:val="24"/>
          <w:szCs w:val="24"/>
          <w:lang w:val="lv-LV"/>
        </w:rPr>
      </w:pPr>
      <w:r>
        <w:rPr>
          <w:sz w:val="24"/>
          <w:szCs w:val="24"/>
          <w:lang w:val="lv-LV"/>
        </w:rPr>
        <w:lastRenderedPageBreak/>
        <w:t>4</w:t>
      </w:r>
      <w:r w:rsidR="00154A5C" w:rsidRPr="00154A5C">
        <w:rPr>
          <w:sz w:val="24"/>
          <w:szCs w:val="24"/>
          <w:lang w:val="lv-LV"/>
        </w:rPr>
        <w:t>.</w:t>
      </w:r>
      <w:r w:rsidR="008004D6">
        <w:rPr>
          <w:sz w:val="24"/>
          <w:szCs w:val="24"/>
          <w:lang w:val="lv-LV"/>
        </w:rPr>
        <w:t>7</w:t>
      </w:r>
      <w:r w:rsidR="00154A5C" w:rsidRPr="00154A5C">
        <w:rPr>
          <w:sz w:val="24"/>
          <w:szCs w:val="24"/>
          <w:lang w:val="lv-LV"/>
        </w:rPr>
        <w:t xml:space="preserve">. Izslēgt </w:t>
      </w:r>
      <w:r w:rsidR="00A07AFF" w:rsidRPr="00A07AFF">
        <w:rPr>
          <w:sz w:val="24"/>
          <w:szCs w:val="24"/>
          <w:lang w:val="lv-LV"/>
        </w:rPr>
        <w:t>pretendent</w:t>
      </w:r>
      <w:r w:rsidR="00A07AFF">
        <w:rPr>
          <w:sz w:val="24"/>
          <w:szCs w:val="24"/>
          <w:lang w:val="lv-LV"/>
        </w:rPr>
        <w:t>u</w:t>
      </w:r>
      <w:r w:rsidR="00A07AFF" w:rsidRPr="00A07AFF">
        <w:rPr>
          <w:sz w:val="24"/>
          <w:szCs w:val="24"/>
          <w:lang w:val="lv-LV"/>
        </w:rPr>
        <w:t xml:space="preserve"> </w:t>
      </w:r>
      <w:r w:rsidR="00154A5C" w:rsidRPr="00154A5C">
        <w:rPr>
          <w:sz w:val="24"/>
          <w:szCs w:val="24"/>
          <w:lang w:val="lv-LV"/>
        </w:rPr>
        <w:t>SIA RK “NIVIOS-LTD” no dalības iepirkumā “VAS "Privatizācijas aģentūra" ēku un teritorijas K.Valdemāra ielā 31, Rīgā, apsardze” (PA/2017/74)</w:t>
      </w:r>
      <w:r w:rsidR="00154A5C">
        <w:rPr>
          <w:sz w:val="24"/>
          <w:szCs w:val="24"/>
          <w:lang w:val="lv-LV"/>
        </w:rPr>
        <w:t xml:space="preserve"> atbilstoši Publisko iepirkumu likuma 42.panta pirmās daļas 6.punktā minētajam izslēgšanas gadījumam.</w:t>
      </w:r>
    </w:p>
    <w:p w:rsidR="000D65B6" w:rsidRDefault="00223157" w:rsidP="00154A5C">
      <w:pPr>
        <w:ind w:firstLine="709"/>
        <w:jc w:val="both"/>
        <w:rPr>
          <w:sz w:val="24"/>
          <w:szCs w:val="24"/>
          <w:lang w:val="lv-LV"/>
        </w:rPr>
      </w:pPr>
      <w:r>
        <w:rPr>
          <w:sz w:val="24"/>
          <w:szCs w:val="24"/>
          <w:lang w:val="lv-LV"/>
        </w:rPr>
        <w:t>4</w:t>
      </w:r>
      <w:r w:rsidR="00154A5C">
        <w:rPr>
          <w:sz w:val="24"/>
          <w:szCs w:val="24"/>
          <w:lang w:val="lv-LV"/>
        </w:rPr>
        <w:t>.</w:t>
      </w:r>
      <w:r w:rsidR="008004D6">
        <w:rPr>
          <w:sz w:val="24"/>
          <w:szCs w:val="24"/>
          <w:lang w:val="lv-LV"/>
        </w:rPr>
        <w:t>8</w:t>
      </w:r>
      <w:r w:rsidR="00154A5C">
        <w:rPr>
          <w:sz w:val="24"/>
          <w:szCs w:val="24"/>
          <w:lang w:val="lv-LV"/>
        </w:rPr>
        <w:t xml:space="preserve">. </w:t>
      </w:r>
      <w:r w:rsidR="000D65B6">
        <w:rPr>
          <w:sz w:val="24"/>
          <w:szCs w:val="24"/>
          <w:lang w:val="lv-LV"/>
        </w:rPr>
        <w:t xml:space="preserve">Vērtēt </w:t>
      </w:r>
      <w:r w:rsidR="000D65B6" w:rsidRPr="004033DB">
        <w:rPr>
          <w:sz w:val="24"/>
          <w:szCs w:val="24"/>
          <w:lang w:val="lv-LV"/>
        </w:rPr>
        <w:t>SIA “QUANTRUM”, SIA “</w:t>
      </w:r>
      <w:proofErr w:type="spellStart"/>
      <w:r w:rsidR="000D65B6" w:rsidRPr="004033DB">
        <w:rPr>
          <w:sz w:val="24"/>
          <w:szCs w:val="24"/>
          <w:lang w:val="lv-LV"/>
        </w:rPr>
        <w:t>Screen</w:t>
      </w:r>
      <w:proofErr w:type="spellEnd"/>
      <w:r w:rsidR="000D65B6" w:rsidRPr="004033DB">
        <w:rPr>
          <w:sz w:val="24"/>
          <w:szCs w:val="24"/>
          <w:lang w:val="lv-LV"/>
        </w:rPr>
        <w:t xml:space="preserve"> </w:t>
      </w:r>
      <w:proofErr w:type="spellStart"/>
      <w:r w:rsidR="000D65B6" w:rsidRPr="004033DB">
        <w:rPr>
          <w:sz w:val="24"/>
          <w:szCs w:val="24"/>
          <w:lang w:val="lv-LV"/>
        </w:rPr>
        <w:t>Group</w:t>
      </w:r>
      <w:proofErr w:type="spellEnd"/>
      <w:r w:rsidR="000D65B6" w:rsidRPr="004033DB">
        <w:rPr>
          <w:sz w:val="24"/>
          <w:szCs w:val="24"/>
          <w:lang w:val="lv-LV"/>
        </w:rPr>
        <w:t>” un SIA “G4S Latvia”</w:t>
      </w:r>
      <w:r w:rsidR="000D65B6">
        <w:rPr>
          <w:sz w:val="24"/>
          <w:szCs w:val="24"/>
          <w:lang w:val="lv-LV"/>
        </w:rPr>
        <w:t xml:space="preserve"> piedāvājumus</w:t>
      </w:r>
      <w:r w:rsidR="00154A5C">
        <w:rPr>
          <w:sz w:val="24"/>
          <w:szCs w:val="24"/>
          <w:lang w:val="lv-LV"/>
        </w:rPr>
        <w:t xml:space="preserve">, izvēloties saimnieciski izdevīgāko piedāvājumu atbilstoši iepirkuma </w:t>
      </w:r>
      <w:r w:rsidR="00154A5C" w:rsidRPr="00154A5C">
        <w:rPr>
          <w:sz w:val="24"/>
          <w:szCs w:val="24"/>
          <w:lang w:val="lv-LV"/>
        </w:rPr>
        <w:t>“VAS "Privatizācijas aģentūra" ēku un teritorijas K.Valdemāra ielā 31, Rīgā, apsardze” (PA/2017/74)</w:t>
      </w:r>
      <w:r w:rsidR="00154A5C">
        <w:rPr>
          <w:sz w:val="24"/>
          <w:szCs w:val="24"/>
          <w:lang w:val="lv-LV"/>
        </w:rPr>
        <w:t xml:space="preserve"> nolikum</w:t>
      </w:r>
      <w:r w:rsidR="0016754A">
        <w:rPr>
          <w:sz w:val="24"/>
          <w:szCs w:val="24"/>
          <w:lang w:val="lv-LV"/>
        </w:rPr>
        <w:t>ā noteiktajiem vērtēšanas kritērijiem</w:t>
      </w:r>
      <w:r w:rsidR="000D65B6">
        <w:rPr>
          <w:sz w:val="24"/>
          <w:szCs w:val="24"/>
          <w:lang w:val="lv-LV"/>
        </w:rPr>
        <w:t>.</w:t>
      </w:r>
    </w:p>
    <w:p w:rsidR="0016754A" w:rsidRDefault="00223157" w:rsidP="00154A5C">
      <w:pPr>
        <w:ind w:firstLine="709"/>
        <w:jc w:val="both"/>
        <w:rPr>
          <w:sz w:val="24"/>
          <w:szCs w:val="24"/>
          <w:lang w:val="lv-LV"/>
        </w:rPr>
      </w:pPr>
      <w:r>
        <w:rPr>
          <w:sz w:val="24"/>
          <w:szCs w:val="24"/>
          <w:lang w:val="lv-LV"/>
        </w:rPr>
        <w:t>4</w:t>
      </w:r>
      <w:r w:rsidR="0016754A">
        <w:rPr>
          <w:sz w:val="24"/>
          <w:szCs w:val="24"/>
          <w:lang w:val="lv-LV"/>
        </w:rPr>
        <w:t>.</w:t>
      </w:r>
      <w:r w:rsidR="008004D6">
        <w:rPr>
          <w:sz w:val="24"/>
          <w:szCs w:val="24"/>
          <w:lang w:val="lv-LV"/>
        </w:rPr>
        <w:t>9</w:t>
      </w:r>
      <w:r w:rsidR="0016754A">
        <w:rPr>
          <w:sz w:val="24"/>
          <w:szCs w:val="24"/>
          <w:lang w:val="lv-LV"/>
        </w:rPr>
        <w:t>. Pieņemt zināšanai komisijas locekļu individuālos vērtējumus par saimnieciski izdevīgāko piedāvājumu (punktu skaits aprēķināts kā visu komisijas locekļu piešķirto punktu summas dalījums ar komisijas locekļu skaitu):</w:t>
      </w:r>
    </w:p>
    <w:tbl>
      <w:tblPr>
        <w:tblStyle w:val="TableGrid"/>
        <w:tblW w:w="9640" w:type="dxa"/>
        <w:tblInd w:w="-289" w:type="dxa"/>
        <w:tblLayout w:type="fixed"/>
        <w:tblLook w:val="04A0" w:firstRow="1" w:lastRow="0" w:firstColumn="1" w:lastColumn="0" w:noHBand="0" w:noVBand="1"/>
      </w:tblPr>
      <w:tblGrid>
        <w:gridCol w:w="568"/>
        <w:gridCol w:w="3260"/>
        <w:gridCol w:w="1134"/>
        <w:gridCol w:w="1559"/>
        <w:gridCol w:w="1559"/>
        <w:gridCol w:w="1560"/>
      </w:tblGrid>
      <w:tr w:rsidR="0016754A" w:rsidRPr="0016754A" w:rsidTr="0016754A">
        <w:tc>
          <w:tcPr>
            <w:tcW w:w="568"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Nr.</w:t>
            </w:r>
          </w:p>
        </w:tc>
        <w:tc>
          <w:tcPr>
            <w:tcW w:w="3260"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Vērtēšanas kritērijs</w:t>
            </w:r>
          </w:p>
        </w:tc>
        <w:tc>
          <w:tcPr>
            <w:tcW w:w="1134" w:type="dxa"/>
            <w:vAlign w:val="center"/>
          </w:tcPr>
          <w:p w:rsidR="0016754A" w:rsidRPr="0016754A" w:rsidRDefault="0016754A" w:rsidP="0016754A">
            <w:pPr>
              <w:spacing w:line="288" w:lineRule="auto"/>
              <w:jc w:val="center"/>
              <w:rPr>
                <w:sz w:val="22"/>
                <w:szCs w:val="22"/>
                <w:lang w:val="lv-LV"/>
              </w:rPr>
            </w:pPr>
            <w:r w:rsidRPr="0016754A">
              <w:rPr>
                <w:sz w:val="22"/>
                <w:szCs w:val="22"/>
                <w:lang w:val="lv-LV"/>
              </w:rPr>
              <w:t>MAX</w:t>
            </w:r>
          </w:p>
          <w:p w:rsidR="0016754A" w:rsidRPr="0016754A" w:rsidRDefault="0016754A" w:rsidP="0016754A">
            <w:pPr>
              <w:spacing w:line="288" w:lineRule="auto"/>
              <w:jc w:val="center"/>
              <w:rPr>
                <w:sz w:val="22"/>
                <w:szCs w:val="22"/>
                <w:lang w:val="lv-LV"/>
              </w:rPr>
            </w:pPr>
            <w:r w:rsidRPr="0016754A">
              <w:rPr>
                <w:sz w:val="22"/>
                <w:szCs w:val="22"/>
                <w:lang w:val="lv-LV"/>
              </w:rPr>
              <w:t xml:space="preserve"> punktu skaits</w:t>
            </w:r>
          </w:p>
        </w:tc>
        <w:tc>
          <w:tcPr>
            <w:tcW w:w="1559" w:type="dxa"/>
          </w:tcPr>
          <w:p w:rsidR="0016754A" w:rsidRPr="0016754A" w:rsidRDefault="0016754A" w:rsidP="0016754A">
            <w:pPr>
              <w:jc w:val="center"/>
              <w:rPr>
                <w:sz w:val="22"/>
                <w:szCs w:val="22"/>
                <w:lang w:val="lv-LV"/>
              </w:rPr>
            </w:pPr>
            <w:r w:rsidRPr="0016754A">
              <w:rPr>
                <w:sz w:val="22"/>
                <w:szCs w:val="22"/>
                <w:lang w:val="lv-LV"/>
              </w:rPr>
              <w:t>SIA “QUANTRUM”</w:t>
            </w:r>
          </w:p>
        </w:tc>
        <w:tc>
          <w:tcPr>
            <w:tcW w:w="1559" w:type="dxa"/>
          </w:tcPr>
          <w:p w:rsidR="0016754A" w:rsidRPr="0016754A" w:rsidRDefault="0016754A" w:rsidP="0016754A">
            <w:pPr>
              <w:spacing w:line="288" w:lineRule="auto"/>
              <w:jc w:val="center"/>
              <w:rPr>
                <w:sz w:val="22"/>
                <w:szCs w:val="22"/>
                <w:lang w:val="lv-LV"/>
              </w:rPr>
            </w:pPr>
            <w:r w:rsidRPr="0016754A">
              <w:rPr>
                <w:sz w:val="22"/>
                <w:szCs w:val="22"/>
                <w:lang w:val="lv-LV"/>
              </w:rPr>
              <w:t>SIA “</w:t>
            </w:r>
            <w:proofErr w:type="spellStart"/>
            <w:r w:rsidRPr="0016754A">
              <w:rPr>
                <w:sz w:val="22"/>
                <w:szCs w:val="22"/>
                <w:lang w:val="lv-LV"/>
              </w:rPr>
              <w:t>Screen</w:t>
            </w:r>
            <w:proofErr w:type="spellEnd"/>
            <w:r w:rsidRPr="0016754A">
              <w:rPr>
                <w:sz w:val="22"/>
                <w:szCs w:val="22"/>
                <w:lang w:val="lv-LV"/>
              </w:rPr>
              <w:t xml:space="preserve"> </w:t>
            </w:r>
            <w:proofErr w:type="spellStart"/>
            <w:r w:rsidRPr="0016754A">
              <w:rPr>
                <w:sz w:val="22"/>
                <w:szCs w:val="22"/>
                <w:lang w:val="lv-LV"/>
              </w:rPr>
              <w:t>Group</w:t>
            </w:r>
            <w:proofErr w:type="spellEnd"/>
            <w:r w:rsidRPr="0016754A">
              <w:rPr>
                <w:sz w:val="22"/>
                <w:szCs w:val="22"/>
                <w:lang w:val="lv-LV"/>
              </w:rPr>
              <w:t>”</w:t>
            </w:r>
          </w:p>
        </w:tc>
        <w:tc>
          <w:tcPr>
            <w:tcW w:w="1560" w:type="dxa"/>
          </w:tcPr>
          <w:p w:rsidR="0016754A" w:rsidRPr="0016754A" w:rsidRDefault="0016754A" w:rsidP="0016754A">
            <w:pPr>
              <w:spacing w:line="288" w:lineRule="auto"/>
              <w:jc w:val="center"/>
              <w:rPr>
                <w:sz w:val="22"/>
                <w:szCs w:val="22"/>
                <w:lang w:val="lv-LV"/>
              </w:rPr>
            </w:pPr>
            <w:r w:rsidRPr="0016754A">
              <w:rPr>
                <w:sz w:val="22"/>
                <w:szCs w:val="22"/>
                <w:lang w:val="lv-LV"/>
              </w:rPr>
              <w:t>AS “G4S Latvia”</w:t>
            </w:r>
          </w:p>
        </w:tc>
      </w:tr>
      <w:tr w:rsidR="0016754A" w:rsidRPr="0016754A" w:rsidTr="0016754A">
        <w:tc>
          <w:tcPr>
            <w:tcW w:w="568" w:type="dxa"/>
          </w:tcPr>
          <w:p w:rsidR="0016754A" w:rsidRPr="0016754A" w:rsidRDefault="0016754A" w:rsidP="0016754A">
            <w:pPr>
              <w:spacing w:before="100" w:beforeAutospacing="1" w:after="100" w:afterAutospacing="1" w:line="288" w:lineRule="auto"/>
              <w:jc w:val="both"/>
              <w:rPr>
                <w:sz w:val="22"/>
                <w:szCs w:val="22"/>
                <w:lang w:val="lv-LV"/>
              </w:rPr>
            </w:pPr>
            <w:r w:rsidRPr="0016754A">
              <w:rPr>
                <w:sz w:val="22"/>
                <w:szCs w:val="22"/>
                <w:lang w:val="lv-LV"/>
              </w:rPr>
              <w:t>1.</w:t>
            </w:r>
          </w:p>
        </w:tc>
        <w:tc>
          <w:tcPr>
            <w:tcW w:w="3260" w:type="dxa"/>
          </w:tcPr>
          <w:p w:rsidR="0016754A" w:rsidRPr="0016754A" w:rsidRDefault="0016754A" w:rsidP="0016754A">
            <w:pPr>
              <w:spacing w:before="100" w:beforeAutospacing="1" w:after="100" w:afterAutospacing="1" w:line="288" w:lineRule="auto"/>
              <w:jc w:val="both"/>
              <w:rPr>
                <w:sz w:val="22"/>
                <w:szCs w:val="22"/>
                <w:lang w:val="lv-LV"/>
              </w:rPr>
            </w:pPr>
            <w:r w:rsidRPr="0016754A">
              <w:rPr>
                <w:sz w:val="22"/>
                <w:szCs w:val="22"/>
                <w:lang w:val="lv-LV"/>
              </w:rPr>
              <w:t>Kopējā līgumcena 3 (trīs) gadiem</w:t>
            </w:r>
          </w:p>
        </w:tc>
        <w:tc>
          <w:tcPr>
            <w:tcW w:w="1134"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70</w:t>
            </w:r>
          </w:p>
        </w:tc>
        <w:tc>
          <w:tcPr>
            <w:tcW w:w="1559"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66.77</w:t>
            </w:r>
          </w:p>
        </w:tc>
        <w:tc>
          <w:tcPr>
            <w:tcW w:w="1559"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70</w:t>
            </w:r>
          </w:p>
        </w:tc>
        <w:tc>
          <w:tcPr>
            <w:tcW w:w="1560"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59.35</w:t>
            </w:r>
          </w:p>
        </w:tc>
      </w:tr>
      <w:tr w:rsidR="0016754A" w:rsidRPr="0016754A" w:rsidTr="0016754A">
        <w:tc>
          <w:tcPr>
            <w:tcW w:w="568" w:type="dxa"/>
          </w:tcPr>
          <w:p w:rsidR="0016754A" w:rsidRPr="0016754A" w:rsidRDefault="0016754A" w:rsidP="0016754A">
            <w:pPr>
              <w:spacing w:before="100" w:beforeAutospacing="1" w:after="100" w:afterAutospacing="1" w:line="288" w:lineRule="auto"/>
              <w:jc w:val="both"/>
              <w:rPr>
                <w:sz w:val="22"/>
                <w:szCs w:val="22"/>
                <w:lang w:val="lv-LV"/>
              </w:rPr>
            </w:pPr>
            <w:r w:rsidRPr="0016754A">
              <w:rPr>
                <w:sz w:val="22"/>
                <w:szCs w:val="22"/>
                <w:lang w:val="lv-LV"/>
              </w:rPr>
              <w:t>2.</w:t>
            </w:r>
          </w:p>
        </w:tc>
        <w:tc>
          <w:tcPr>
            <w:tcW w:w="3260" w:type="dxa"/>
          </w:tcPr>
          <w:p w:rsidR="0016754A" w:rsidRPr="0016754A" w:rsidRDefault="0016754A" w:rsidP="0016754A">
            <w:pPr>
              <w:spacing w:before="100" w:beforeAutospacing="1" w:after="100" w:afterAutospacing="1" w:line="288" w:lineRule="auto"/>
              <w:jc w:val="both"/>
              <w:rPr>
                <w:sz w:val="22"/>
                <w:szCs w:val="22"/>
                <w:lang w:val="lv-LV"/>
              </w:rPr>
            </w:pPr>
            <w:r w:rsidRPr="0016754A">
              <w:rPr>
                <w:sz w:val="22"/>
                <w:szCs w:val="22"/>
                <w:lang w:val="lv-LV" w:eastAsia="zh-CN"/>
              </w:rPr>
              <w:t>Kapacitāte - apsargājamo objektu skaits</w:t>
            </w:r>
          </w:p>
        </w:tc>
        <w:tc>
          <w:tcPr>
            <w:tcW w:w="1134"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20</w:t>
            </w:r>
          </w:p>
        </w:tc>
        <w:tc>
          <w:tcPr>
            <w:tcW w:w="1559"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10</w:t>
            </w:r>
          </w:p>
        </w:tc>
        <w:tc>
          <w:tcPr>
            <w:tcW w:w="1559"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0</w:t>
            </w:r>
          </w:p>
        </w:tc>
        <w:tc>
          <w:tcPr>
            <w:tcW w:w="1560"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5</w:t>
            </w:r>
          </w:p>
        </w:tc>
      </w:tr>
      <w:tr w:rsidR="0016754A" w:rsidRPr="0016754A" w:rsidTr="0016754A">
        <w:tc>
          <w:tcPr>
            <w:tcW w:w="568" w:type="dxa"/>
          </w:tcPr>
          <w:p w:rsidR="0016754A" w:rsidRPr="0016754A" w:rsidRDefault="0016754A" w:rsidP="0016754A">
            <w:pPr>
              <w:spacing w:before="100" w:beforeAutospacing="1" w:after="100" w:afterAutospacing="1" w:line="288" w:lineRule="auto"/>
              <w:jc w:val="both"/>
              <w:rPr>
                <w:sz w:val="22"/>
                <w:szCs w:val="22"/>
                <w:lang w:val="lv-LV"/>
              </w:rPr>
            </w:pPr>
            <w:r w:rsidRPr="0016754A">
              <w:rPr>
                <w:sz w:val="22"/>
                <w:szCs w:val="22"/>
                <w:lang w:val="lv-LV"/>
              </w:rPr>
              <w:t>3.</w:t>
            </w:r>
          </w:p>
        </w:tc>
        <w:tc>
          <w:tcPr>
            <w:tcW w:w="3260" w:type="dxa"/>
          </w:tcPr>
          <w:p w:rsidR="0016754A" w:rsidRPr="0016754A" w:rsidRDefault="0016754A" w:rsidP="0016754A">
            <w:pPr>
              <w:spacing w:before="100" w:beforeAutospacing="1" w:after="100" w:afterAutospacing="1" w:line="288" w:lineRule="auto"/>
              <w:jc w:val="both"/>
              <w:rPr>
                <w:sz w:val="22"/>
                <w:szCs w:val="22"/>
                <w:lang w:val="lv-LV"/>
              </w:rPr>
            </w:pPr>
            <w:r w:rsidRPr="0016754A">
              <w:rPr>
                <w:sz w:val="22"/>
                <w:szCs w:val="22"/>
                <w:lang w:val="lv-LV"/>
              </w:rPr>
              <w:t>Pakalpojuma sniegšanas kvalitāte – atsauksmes un rekomendācijas</w:t>
            </w:r>
          </w:p>
        </w:tc>
        <w:tc>
          <w:tcPr>
            <w:tcW w:w="1134"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10</w:t>
            </w:r>
          </w:p>
        </w:tc>
        <w:tc>
          <w:tcPr>
            <w:tcW w:w="1559"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5</w:t>
            </w:r>
          </w:p>
        </w:tc>
        <w:tc>
          <w:tcPr>
            <w:tcW w:w="1559"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10</w:t>
            </w:r>
          </w:p>
        </w:tc>
        <w:tc>
          <w:tcPr>
            <w:tcW w:w="1560"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5</w:t>
            </w:r>
          </w:p>
        </w:tc>
      </w:tr>
      <w:tr w:rsidR="0016754A" w:rsidRPr="0016754A" w:rsidTr="0016754A">
        <w:tc>
          <w:tcPr>
            <w:tcW w:w="568" w:type="dxa"/>
          </w:tcPr>
          <w:p w:rsidR="0016754A" w:rsidRPr="0016754A" w:rsidRDefault="0016754A" w:rsidP="0016754A">
            <w:pPr>
              <w:spacing w:before="100" w:beforeAutospacing="1" w:after="100" w:afterAutospacing="1" w:line="288" w:lineRule="auto"/>
              <w:jc w:val="both"/>
              <w:rPr>
                <w:sz w:val="22"/>
                <w:szCs w:val="22"/>
                <w:lang w:val="lv-LV"/>
              </w:rPr>
            </w:pPr>
          </w:p>
        </w:tc>
        <w:tc>
          <w:tcPr>
            <w:tcW w:w="3260" w:type="dxa"/>
          </w:tcPr>
          <w:p w:rsidR="0016754A" w:rsidRPr="0016754A" w:rsidRDefault="0016754A" w:rsidP="0016754A">
            <w:pPr>
              <w:spacing w:before="100" w:beforeAutospacing="1" w:after="100" w:afterAutospacing="1" w:line="288" w:lineRule="auto"/>
              <w:jc w:val="both"/>
              <w:rPr>
                <w:sz w:val="22"/>
                <w:szCs w:val="22"/>
                <w:lang w:val="lv-LV" w:eastAsia="zh-CN"/>
              </w:rPr>
            </w:pPr>
            <w:r w:rsidRPr="0016754A">
              <w:rPr>
                <w:sz w:val="22"/>
                <w:szCs w:val="22"/>
                <w:lang w:val="lv-LV" w:eastAsia="zh-CN"/>
              </w:rPr>
              <w:t>KOPĀ:</w:t>
            </w:r>
          </w:p>
        </w:tc>
        <w:tc>
          <w:tcPr>
            <w:tcW w:w="1134"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100</w:t>
            </w:r>
          </w:p>
        </w:tc>
        <w:tc>
          <w:tcPr>
            <w:tcW w:w="1559"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81.77</w:t>
            </w:r>
          </w:p>
        </w:tc>
        <w:tc>
          <w:tcPr>
            <w:tcW w:w="1559"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80</w:t>
            </w:r>
          </w:p>
        </w:tc>
        <w:tc>
          <w:tcPr>
            <w:tcW w:w="1560" w:type="dxa"/>
          </w:tcPr>
          <w:p w:rsidR="0016754A" w:rsidRPr="0016754A" w:rsidRDefault="0016754A" w:rsidP="0016754A">
            <w:pPr>
              <w:spacing w:before="100" w:beforeAutospacing="1" w:after="100" w:afterAutospacing="1" w:line="288" w:lineRule="auto"/>
              <w:jc w:val="center"/>
              <w:rPr>
                <w:sz w:val="22"/>
                <w:szCs w:val="22"/>
                <w:lang w:val="lv-LV"/>
              </w:rPr>
            </w:pPr>
            <w:r w:rsidRPr="0016754A">
              <w:rPr>
                <w:sz w:val="22"/>
                <w:szCs w:val="22"/>
                <w:lang w:val="lv-LV"/>
              </w:rPr>
              <w:t>69.35</w:t>
            </w:r>
          </w:p>
        </w:tc>
      </w:tr>
    </w:tbl>
    <w:p w:rsidR="0016754A" w:rsidRDefault="0016754A" w:rsidP="00154A5C">
      <w:pPr>
        <w:ind w:firstLine="709"/>
        <w:jc w:val="both"/>
        <w:rPr>
          <w:sz w:val="24"/>
          <w:szCs w:val="24"/>
          <w:lang w:val="lv-LV"/>
        </w:rPr>
      </w:pPr>
    </w:p>
    <w:p w:rsidR="0016754A" w:rsidRDefault="00223157" w:rsidP="002215FB">
      <w:pPr>
        <w:ind w:firstLine="709"/>
        <w:jc w:val="both"/>
        <w:rPr>
          <w:sz w:val="24"/>
          <w:szCs w:val="24"/>
          <w:lang w:val="lv-LV"/>
        </w:rPr>
      </w:pPr>
      <w:r>
        <w:rPr>
          <w:sz w:val="24"/>
          <w:szCs w:val="24"/>
          <w:lang w:val="lv-LV"/>
        </w:rPr>
        <w:t>4</w:t>
      </w:r>
      <w:r w:rsidR="0016754A">
        <w:rPr>
          <w:sz w:val="24"/>
          <w:szCs w:val="24"/>
          <w:lang w:val="lv-LV"/>
        </w:rPr>
        <w:t>.</w:t>
      </w:r>
      <w:r w:rsidR="008004D6">
        <w:rPr>
          <w:sz w:val="24"/>
          <w:szCs w:val="24"/>
          <w:lang w:val="lv-LV"/>
        </w:rPr>
        <w:t>10</w:t>
      </w:r>
      <w:r w:rsidR="0016754A">
        <w:rPr>
          <w:sz w:val="24"/>
          <w:szCs w:val="24"/>
          <w:lang w:val="lv-LV"/>
        </w:rPr>
        <w:t xml:space="preserve">. Pieņemt zināšanai, ka </w:t>
      </w:r>
      <w:r w:rsidR="006352B6">
        <w:rPr>
          <w:sz w:val="24"/>
          <w:szCs w:val="24"/>
          <w:lang w:val="lv-LV"/>
        </w:rPr>
        <w:t xml:space="preserve">SIA “QUANTRUM”, </w:t>
      </w:r>
      <w:r w:rsidR="006352B6" w:rsidRPr="000E0DE3">
        <w:rPr>
          <w:sz w:val="24"/>
          <w:szCs w:val="24"/>
          <w:lang w:val="lv-LV"/>
        </w:rPr>
        <w:t xml:space="preserve">nodokļu maksātāja reģistrācijas numurs </w:t>
      </w:r>
      <w:r w:rsidR="006352B6">
        <w:rPr>
          <w:sz w:val="24"/>
          <w:szCs w:val="24"/>
          <w:lang w:val="lv-LV"/>
        </w:rPr>
        <w:t>40103423984</w:t>
      </w:r>
      <w:r w:rsidR="006352B6" w:rsidRPr="000E0DE3">
        <w:rPr>
          <w:sz w:val="24"/>
          <w:szCs w:val="24"/>
          <w:lang w:val="lv-LV"/>
        </w:rPr>
        <w:t xml:space="preserve">, saskaņā ar Valsts ieņēmumu dienesta izziņu uz 2017.gada </w:t>
      </w:r>
      <w:r w:rsidR="006352B6">
        <w:rPr>
          <w:sz w:val="24"/>
          <w:szCs w:val="24"/>
          <w:lang w:val="lv-LV"/>
        </w:rPr>
        <w:t>30</w:t>
      </w:r>
      <w:r w:rsidR="008004D6">
        <w:rPr>
          <w:sz w:val="24"/>
          <w:szCs w:val="24"/>
          <w:lang w:val="lv-LV"/>
        </w:rPr>
        <w:t>.</w:t>
      </w:r>
      <w:r w:rsidR="006352B6">
        <w:rPr>
          <w:sz w:val="24"/>
          <w:szCs w:val="24"/>
          <w:lang w:val="lv-LV"/>
        </w:rPr>
        <w:t>augustu</w:t>
      </w:r>
      <w:r w:rsidR="006352B6" w:rsidRPr="000E0DE3">
        <w:rPr>
          <w:sz w:val="24"/>
          <w:szCs w:val="24"/>
          <w:lang w:val="lv-LV"/>
        </w:rPr>
        <w:t xml:space="preserve"> nav Valsts ieņēmumu dienesta administrēto nodokļu (nodevu) parāda, kas kopsummā pārsniedz 150 </w:t>
      </w:r>
      <w:proofErr w:type="spellStart"/>
      <w:r w:rsidR="006352B6" w:rsidRPr="000E0DE3">
        <w:rPr>
          <w:sz w:val="24"/>
          <w:szCs w:val="24"/>
          <w:lang w:val="lv-LV"/>
        </w:rPr>
        <w:t>e</w:t>
      </w:r>
      <w:r w:rsidR="006352B6">
        <w:rPr>
          <w:sz w:val="24"/>
          <w:szCs w:val="24"/>
          <w:lang w:val="lv-LV"/>
        </w:rPr>
        <w:t>u</w:t>
      </w:r>
      <w:r w:rsidR="006352B6" w:rsidRPr="000E0DE3">
        <w:rPr>
          <w:sz w:val="24"/>
          <w:szCs w:val="24"/>
          <w:lang w:val="lv-LV"/>
        </w:rPr>
        <w:t>ro</w:t>
      </w:r>
      <w:proofErr w:type="spellEnd"/>
      <w:r w:rsidR="006352B6" w:rsidRPr="000E0DE3">
        <w:rPr>
          <w:sz w:val="24"/>
          <w:szCs w:val="24"/>
          <w:lang w:val="lv-LV"/>
        </w:rPr>
        <w:t xml:space="preserve">, un saskaņā ar 2017.gada </w:t>
      </w:r>
      <w:r w:rsidR="00182A5B">
        <w:rPr>
          <w:sz w:val="24"/>
          <w:szCs w:val="24"/>
          <w:lang w:val="lv-LV"/>
        </w:rPr>
        <w:t>30</w:t>
      </w:r>
      <w:r w:rsidR="006352B6">
        <w:rPr>
          <w:sz w:val="24"/>
          <w:szCs w:val="24"/>
          <w:lang w:val="lv-LV"/>
        </w:rPr>
        <w:t>.augusta</w:t>
      </w:r>
      <w:r w:rsidR="006352B6" w:rsidRPr="000E0DE3">
        <w:rPr>
          <w:sz w:val="24"/>
          <w:szCs w:val="24"/>
          <w:lang w:val="lv-LV"/>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2215FB">
        <w:rPr>
          <w:sz w:val="24"/>
          <w:szCs w:val="24"/>
          <w:lang w:val="lv-LV"/>
        </w:rPr>
        <w:t xml:space="preserve">, saskaņā ar </w:t>
      </w:r>
      <w:r w:rsidR="002215FB" w:rsidRPr="000E0DE3">
        <w:rPr>
          <w:sz w:val="24"/>
          <w:szCs w:val="24"/>
          <w:lang w:val="lv-LV"/>
        </w:rPr>
        <w:t xml:space="preserve">2017.gada </w:t>
      </w:r>
      <w:r w:rsidR="002215FB">
        <w:rPr>
          <w:sz w:val="24"/>
          <w:szCs w:val="24"/>
          <w:lang w:val="lv-LV"/>
        </w:rPr>
        <w:t>30.augusta</w:t>
      </w:r>
      <w:r w:rsidR="002215FB" w:rsidRPr="000E0DE3">
        <w:rPr>
          <w:sz w:val="24"/>
          <w:szCs w:val="24"/>
          <w:lang w:val="lv-LV"/>
        </w:rPr>
        <w:t xml:space="preserve"> izziņu no </w:t>
      </w:r>
      <w:r w:rsidR="002215FB">
        <w:rPr>
          <w:sz w:val="24"/>
          <w:szCs w:val="24"/>
          <w:lang w:val="lv-LV"/>
        </w:rPr>
        <w:t>Sodu reģistra</w:t>
      </w:r>
      <w:r w:rsidR="002215FB" w:rsidRPr="000E0DE3">
        <w:rPr>
          <w:sz w:val="24"/>
          <w:szCs w:val="24"/>
          <w:lang w:val="lv-LV"/>
        </w:rPr>
        <w:t xml:space="preserve"> datu bāzes </w:t>
      </w:r>
      <w:r w:rsidR="002215FB">
        <w:rPr>
          <w:sz w:val="24"/>
          <w:szCs w:val="24"/>
          <w:lang w:val="lv-LV"/>
        </w:rPr>
        <w:t xml:space="preserve">pretendentam un tā valdes loceklim Andrejam </w:t>
      </w:r>
      <w:proofErr w:type="spellStart"/>
      <w:r w:rsidR="002215FB">
        <w:rPr>
          <w:sz w:val="24"/>
          <w:szCs w:val="24"/>
          <w:lang w:val="lv-LV"/>
        </w:rPr>
        <w:t>Kosorotovam</w:t>
      </w:r>
      <w:proofErr w:type="spellEnd"/>
      <w:r w:rsidR="002215FB">
        <w:rPr>
          <w:sz w:val="24"/>
          <w:szCs w:val="24"/>
          <w:lang w:val="lv-LV"/>
        </w:rPr>
        <w:t xml:space="preserve"> </w:t>
      </w:r>
      <w:r w:rsidR="002215FB" w:rsidRPr="002215FB">
        <w:rPr>
          <w:sz w:val="24"/>
          <w:szCs w:val="24"/>
          <w:lang w:val="lv-LV"/>
        </w:rPr>
        <w:t>nav tādu tiesību aktu (tai skaitā profesionālās darbības) pārkāpumu (vai ir konkurences tiesību pārkāpuma</w:t>
      </w:r>
      <w:r w:rsidR="002215FB">
        <w:rPr>
          <w:sz w:val="24"/>
          <w:szCs w:val="24"/>
          <w:lang w:val="lv-LV"/>
        </w:rPr>
        <w:t xml:space="preserve"> </w:t>
      </w:r>
      <w:r w:rsidR="002215FB" w:rsidRPr="002215FB">
        <w:rPr>
          <w:sz w:val="24"/>
          <w:szCs w:val="24"/>
          <w:lang w:val="lv-LV"/>
        </w:rPr>
        <w:t>gadījums, bet kurā par sadarbību iecietības programmas ietvaros persona ir atbrīvota no naudas soda vai naudas sods samazināts),</w:t>
      </w:r>
      <w:r w:rsidR="002215FB">
        <w:rPr>
          <w:sz w:val="24"/>
          <w:szCs w:val="24"/>
          <w:lang w:val="lv-LV"/>
        </w:rPr>
        <w:t xml:space="preserve"> </w:t>
      </w:r>
      <w:r w:rsidR="002215FB" w:rsidRPr="002215FB">
        <w:rPr>
          <w:sz w:val="24"/>
          <w:szCs w:val="24"/>
          <w:lang w:val="lv-LV"/>
        </w:rPr>
        <w:t>par kuriem kandidāts vai pretendents izslēdzams no dalības iepirkuma procedūrā, vai kompetentās institūcijas lēmums, prokurora</w:t>
      </w:r>
      <w:r w:rsidR="002215FB">
        <w:rPr>
          <w:sz w:val="24"/>
          <w:szCs w:val="24"/>
          <w:lang w:val="lv-LV"/>
        </w:rPr>
        <w:t xml:space="preserve"> </w:t>
      </w:r>
      <w:r w:rsidR="002215FB" w:rsidRPr="002215FB">
        <w:rPr>
          <w:sz w:val="24"/>
          <w:szCs w:val="24"/>
          <w:lang w:val="lv-LV"/>
        </w:rPr>
        <w:t>priekšraksts par sodu vai tiesas spriedums par tiesību aktu pārkāpumiem, par kuriem kandidāts vai pretendents izslēdzams no</w:t>
      </w:r>
      <w:r w:rsidR="002215FB">
        <w:rPr>
          <w:sz w:val="24"/>
          <w:szCs w:val="24"/>
          <w:lang w:val="lv-LV"/>
        </w:rPr>
        <w:t xml:space="preserve"> </w:t>
      </w:r>
      <w:r w:rsidR="002215FB" w:rsidRPr="002215FB">
        <w:rPr>
          <w:sz w:val="24"/>
          <w:szCs w:val="24"/>
          <w:lang w:val="lv-LV"/>
        </w:rPr>
        <w:t>dalības iepirkuma procedūrā, nav stājies spēkā un nav kļuvis neapstrīdams un nepārsūdzams vai par kuriem nav iestājies iepirkumus</w:t>
      </w:r>
      <w:r w:rsidR="002215FB">
        <w:rPr>
          <w:sz w:val="24"/>
          <w:szCs w:val="24"/>
          <w:lang w:val="lv-LV"/>
        </w:rPr>
        <w:t xml:space="preserve"> </w:t>
      </w:r>
      <w:r w:rsidR="002215FB" w:rsidRPr="002215FB">
        <w:rPr>
          <w:sz w:val="24"/>
          <w:szCs w:val="24"/>
          <w:lang w:val="lv-LV"/>
        </w:rPr>
        <w:t>regulējošos tiesību aktos paredzētais noilgums</w:t>
      </w:r>
      <w:r w:rsidR="006352B6" w:rsidRPr="000E0DE3">
        <w:rPr>
          <w:sz w:val="24"/>
          <w:szCs w:val="24"/>
          <w:lang w:val="lv-LV"/>
        </w:rPr>
        <w:t>.</w:t>
      </w:r>
    </w:p>
    <w:p w:rsidR="002215FB" w:rsidRDefault="00223157" w:rsidP="002215FB">
      <w:pPr>
        <w:ind w:firstLine="709"/>
        <w:jc w:val="both"/>
        <w:rPr>
          <w:sz w:val="24"/>
          <w:szCs w:val="24"/>
          <w:lang w:val="lv-LV"/>
        </w:rPr>
      </w:pPr>
      <w:r>
        <w:rPr>
          <w:sz w:val="24"/>
          <w:szCs w:val="24"/>
          <w:lang w:val="lv-LV"/>
        </w:rPr>
        <w:t>4</w:t>
      </w:r>
      <w:r w:rsidR="002215FB">
        <w:rPr>
          <w:sz w:val="24"/>
          <w:szCs w:val="24"/>
          <w:lang w:val="lv-LV"/>
        </w:rPr>
        <w:t>.</w:t>
      </w:r>
      <w:r w:rsidR="008004D6">
        <w:rPr>
          <w:sz w:val="24"/>
          <w:szCs w:val="24"/>
          <w:lang w:val="lv-LV"/>
        </w:rPr>
        <w:t>11</w:t>
      </w:r>
      <w:r w:rsidR="002215FB">
        <w:rPr>
          <w:sz w:val="24"/>
          <w:szCs w:val="24"/>
          <w:lang w:val="lv-LV"/>
        </w:rPr>
        <w:t xml:space="preserve">. </w:t>
      </w:r>
      <w:r w:rsidR="002215FB" w:rsidRPr="000E0DE3">
        <w:rPr>
          <w:sz w:val="24"/>
          <w:szCs w:val="24"/>
          <w:lang w:val="lv-LV"/>
        </w:rPr>
        <w:t xml:space="preserve">Par </w:t>
      </w:r>
      <w:r w:rsidR="002215FB">
        <w:rPr>
          <w:sz w:val="24"/>
          <w:szCs w:val="24"/>
          <w:lang w:val="lv-LV"/>
        </w:rPr>
        <w:t>iepirkuma</w:t>
      </w:r>
      <w:r w:rsidR="002215FB" w:rsidRPr="00154A5C">
        <w:rPr>
          <w:sz w:val="24"/>
          <w:szCs w:val="24"/>
          <w:lang w:val="lv-LV"/>
        </w:rPr>
        <w:t xml:space="preserve"> “VAS "Privatizācijas aģentūra" ēku un teritorijas K.Valdemāra ielā 31, Rīgā, apsardze” (PA/2017/74)</w:t>
      </w:r>
      <w:r w:rsidR="002215FB">
        <w:rPr>
          <w:sz w:val="24"/>
          <w:szCs w:val="24"/>
          <w:lang w:val="lv-LV"/>
        </w:rPr>
        <w:t xml:space="preserve"> </w:t>
      </w:r>
      <w:r w:rsidR="002215FB" w:rsidRPr="000E0DE3">
        <w:rPr>
          <w:sz w:val="24"/>
          <w:szCs w:val="24"/>
          <w:lang w:val="lv-LV"/>
        </w:rPr>
        <w:t>uzvarētāju atzīt un iepirkuma līgumu ar kopējo</w:t>
      </w:r>
      <w:r w:rsidR="002215FB">
        <w:rPr>
          <w:sz w:val="24"/>
          <w:szCs w:val="24"/>
          <w:lang w:val="lv-LV"/>
        </w:rPr>
        <w:t xml:space="preserve"> paredzamo</w:t>
      </w:r>
      <w:r w:rsidR="002215FB" w:rsidRPr="000E0DE3">
        <w:rPr>
          <w:sz w:val="24"/>
          <w:szCs w:val="24"/>
          <w:lang w:val="lv-LV"/>
        </w:rPr>
        <w:t xml:space="preserve"> līgumcenu </w:t>
      </w:r>
      <w:r w:rsidR="002215FB">
        <w:rPr>
          <w:sz w:val="24"/>
          <w:szCs w:val="24"/>
          <w:lang w:val="lv-LV"/>
        </w:rPr>
        <w:t>trīs gadiem 136</w:t>
      </w:r>
      <w:r w:rsidR="008004D6">
        <w:rPr>
          <w:sz w:val="24"/>
          <w:szCs w:val="24"/>
          <w:lang w:val="lv-LV"/>
        </w:rPr>
        <w:t xml:space="preserve"> </w:t>
      </w:r>
      <w:r w:rsidR="002215FB">
        <w:rPr>
          <w:sz w:val="24"/>
          <w:szCs w:val="24"/>
          <w:lang w:val="lv-LV"/>
        </w:rPr>
        <w:t>780.80 EUR bez pievienotās vērtības nodokļa</w:t>
      </w:r>
      <w:r w:rsidR="002215FB" w:rsidRPr="000E0DE3">
        <w:rPr>
          <w:sz w:val="24"/>
          <w:szCs w:val="24"/>
          <w:lang w:val="lv-LV"/>
        </w:rPr>
        <w:t xml:space="preserve"> noslēgt ar </w:t>
      </w:r>
      <w:r w:rsidR="002215FB">
        <w:rPr>
          <w:sz w:val="24"/>
          <w:szCs w:val="24"/>
          <w:lang w:val="lv-LV"/>
        </w:rPr>
        <w:t>SIA “QUANTRUM”.</w:t>
      </w:r>
    </w:p>
    <w:p w:rsidR="000D65B6" w:rsidRPr="00F02313" w:rsidRDefault="000D65B6" w:rsidP="000D65B6">
      <w:pPr>
        <w:pStyle w:val="BodyText2"/>
        <w:ind w:firstLine="720"/>
        <w:rPr>
          <w:rFonts w:ascii="Times New Roman" w:hAnsi="Times New Roman"/>
          <w:szCs w:val="24"/>
        </w:rPr>
      </w:pPr>
      <w:r w:rsidRPr="00F02313">
        <w:rPr>
          <w:rFonts w:ascii="Times New Roman" w:hAnsi="Times New Roman"/>
          <w:szCs w:val="24"/>
        </w:rPr>
        <w:t>Par:</w:t>
      </w:r>
      <w:r w:rsidRPr="00F02313">
        <w:rPr>
          <w:rFonts w:ascii="Times New Roman" w:hAnsi="Times New Roman"/>
          <w:szCs w:val="24"/>
        </w:rPr>
        <w:tab/>
      </w:r>
      <w:r w:rsidR="00223157">
        <w:rPr>
          <w:rFonts w:ascii="Times New Roman" w:hAnsi="Times New Roman"/>
          <w:szCs w:val="24"/>
        </w:rPr>
        <w:t>Ģ.Freibergs</w:t>
      </w:r>
      <w:r w:rsidRPr="00F02313">
        <w:rPr>
          <w:rFonts w:ascii="Times New Roman" w:hAnsi="Times New Roman"/>
          <w:szCs w:val="24"/>
        </w:rPr>
        <w:t>, V.Ozoliņš, K.Timpars</w:t>
      </w:r>
    </w:p>
    <w:p w:rsidR="000D65B6" w:rsidRPr="00F02313" w:rsidRDefault="000D65B6" w:rsidP="000D65B6">
      <w:pPr>
        <w:keepLines/>
        <w:tabs>
          <w:tab w:val="left" w:pos="709"/>
        </w:tabs>
        <w:rPr>
          <w:sz w:val="24"/>
          <w:szCs w:val="24"/>
          <w:lang w:val="lv-LV"/>
        </w:rPr>
      </w:pPr>
      <w:r w:rsidRPr="00F02313">
        <w:rPr>
          <w:sz w:val="24"/>
          <w:szCs w:val="24"/>
          <w:lang w:val="lv-LV"/>
        </w:rPr>
        <w:tab/>
        <w:t xml:space="preserve">Pret: </w:t>
      </w:r>
      <w:r w:rsidRPr="00F02313">
        <w:rPr>
          <w:sz w:val="24"/>
          <w:szCs w:val="24"/>
          <w:lang w:val="lv-LV"/>
        </w:rPr>
        <w:tab/>
        <w:t>nav</w:t>
      </w:r>
    </w:p>
    <w:p w:rsidR="000D65B6" w:rsidRPr="00F02313" w:rsidRDefault="000D65B6" w:rsidP="000D65B6">
      <w:pPr>
        <w:keepLines/>
        <w:tabs>
          <w:tab w:val="left" w:pos="709"/>
        </w:tabs>
        <w:rPr>
          <w:sz w:val="24"/>
          <w:szCs w:val="24"/>
          <w:lang w:val="lv-LV"/>
        </w:rPr>
      </w:pPr>
      <w:r w:rsidRPr="00F02313">
        <w:rPr>
          <w:sz w:val="24"/>
          <w:szCs w:val="24"/>
          <w:lang w:val="lv-LV"/>
        </w:rPr>
        <w:tab/>
        <w:t>Lēmums pieņemts vienbalsīgi.</w:t>
      </w:r>
    </w:p>
    <w:p w:rsidR="004033DB" w:rsidRPr="004033DB" w:rsidRDefault="004033DB" w:rsidP="004033DB">
      <w:pPr>
        <w:keepLines/>
        <w:tabs>
          <w:tab w:val="left" w:pos="709"/>
        </w:tabs>
        <w:jc w:val="both"/>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F422A1" w:rsidTr="00B721DB">
        <w:trPr>
          <w:cantSplit/>
          <w:trHeight w:val="482"/>
        </w:trPr>
        <w:tc>
          <w:tcPr>
            <w:tcW w:w="3686" w:type="dxa"/>
          </w:tcPr>
          <w:p w:rsidR="006873BB" w:rsidRPr="00F02313" w:rsidRDefault="002B12CD" w:rsidP="00F02313">
            <w:pPr>
              <w:keepLines/>
              <w:jc w:val="both"/>
              <w:rPr>
                <w:sz w:val="24"/>
                <w:szCs w:val="24"/>
                <w:lang w:val="lv-LV"/>
              </w:rPr>
            </w:pPr>
            <w:r w:rsidRPr="00F02313">
              <w:rPr>
                <w:sz w:val="24"/>
                <w:szCs w:val="24"/>
                <w:lang w:val="lv-LV"/>
              </w:rPr>
              <w:lastRenderedPageBreak/>
              <w:t>S</w:t>
            </w:r>
            <w:r w:rsidR="00E511A2" w:rsidRPr="00F02313">
              <w:rPr>
                <w:sz w:val="24"/>
                <w:szCs w:val="24"/>
                <w:lang w:val="lv-LV"/>
              </w:rPr>
              <w:t>ēde beidzas plkst.</w:t>
            </w:r>
            <w:r w:rsidR="00E7047A" w:rsidRPr="00F02313">
              <w:rPr>
                <w:sz w:val="24"/>
                <w:szCs w:val="24"/>
                <w:lang w:val="lv-LV"/>
              </w:rPr>
              <w:t xml:space="preserve"> </w:t>
            </w:r>
            <w:r w:rsidR="00700B4C" w:rsidRPr="00F02313">
              <w:rPr>
                <w:sz w:val="24"/>
                <w:szCs w:val="24"/>
                <w:lang w:val="lv-LV"/>
              </w:rPr>
              <w:t>1</w:t>
            </w:r>
            <w:r w:rsidR="008F6952" w:rsidRPr="00F02313">
              <w:rPr>
                <w:sz w:val="24"/>
                <w:szCs w:val="24"/>
                <w:lang w:val="lv-LV"/>
              </w:rPr>
              <w:t>5</w:t>
            </w:r>
            <w:r w:rsidR="003A0433" w:rsidRPr="00F02313">
              <w:rPr>
                <w:sz w:val="24"/>
                <w:szCs w:val="24"/>
                <w:lang w:val="lv-LV"/>
              </w:rPr>
              <w:t>.</w:t>
            </w:r>
            <w:r w:rsidR="008004D6">
              <w:rPr>
                <w:sz w:val="24"/>
                <w:szCs w:val="24"/>
                <w:lang w:val="lv-LV"/>
              </w:rPr>
              <w:t>3</w:t>
            </w:r>
            <w:r w:rsidR="003A0433" w:rsidRPr="00F02313">
              <w:rPr>
                <w:sz w:val="24"/>
                <w:szCs w:val="24"/>
                <w:lang w:val="lv-LV"/>
              </w:rPr>
              <w:t>0</w:t>
            </w:r>
            <w:r w:rsidR="00E511A2" w:rsidRPr="00F02313">
              <w:rPr>
                <w:sz w:val="24"/>
                <w:szCs w:val="24"/>
                <w:lang w:val="lv-LV"/>
              </w:rPr>
              <w:t>.</w:t>
            </w:r>
          </w:p>
          <w:p w:rsidR="00630EEA" w:rsidRPr="00F02313" w:rsidRDefault="00630EEA" w:rsidP="00F02313">
            <w:pPr>
              <w:keepLines/>
              <w:jc w:val="both"/>
              <w:rPr>
                <w:sz w:val="24"/>
                <w:szCs w:val="24"/>
                <w:lang w:val="lv-LV"/>
              </w:rPr>
            </w:pPr>
          </w:p>
          <w:p w:rsidR="000624FB" w:rsidRPr="00F02313" w:rsidRDefault="00E90F12" w:rsidP="00F02313">
            <w:pPr>
              <w:keepLines/>
              <w:jc w:val="both"/>
              <w:rPr>
                <w:sz w:val="24"/>
                <w:szCs w:val="24"/>
                <w:lang w:val="lv-LV"/>
              </w:rPr>
            </w:pPr>
            <w:r w:rsidRPr="00F02313">
              <w:rPr>
                <w:sz w:val="24"/>
                <w:szCs w:val="24"/>
                <w:lang w:val="lv-LV"/>
              </w:rPr>
              <w:t xml:space="preserve">Iepirkuma komisijas </w:t>
            </w:r>
            <w:r w:rsidR="00223157">
              <w:rPr>
                <w:sz w:val="24"/>
                <w:szCs w:val="24"/>
                <w:lang w:val="lv-LV"/>
              </w:rPr>
              <w:t>priekšsēdētājs</w:t>
            </w:r>
            <w:r w:rsidRPr="00F02313">
              <w:rPr>
                <w:sz w:val="24"/>
                <w:szCs w:val="24"/>
                <w:lang w:val="lv-LV"/>
              </w:rPr>
              <w:t>:</w:t>
            </w:r>
            <w:r w:rsidR="000624FB" w:rsidRPr="00F02313">
              <w:rPr>
                <w:sz w:val="24"/>
                <w:szCs w:val="24"/>
                <w:lang w:val="lv-LV"/>
              </w:rPr>
              <w:t xml:space="preserve"> </w:t>
            </w:r>
          </w:p>
          <w:p w:rsidR="002F03D8" w:rsidRPr="00F02313" w:rsidRDefault="002F03D8" w:rsidP="00F02313">
            <w:pPr>
              <w:keepLines/>
              <w:jc w:val="both"/>
              <w:rPr>
                <w:sz w:val="24"/>
                <w:szCs w:val="24"/>
                <w:lang w:val="lv-LV"/>
              </w:rPr>
            </w:pPr>
            <w:r w:rsidRPr="00F02313">
              <w:rPr>
                <w:sz w:val="24"/>
                <w:szCs w:val="24"/>
                <w:lang w:val="lv-LV"/>
              </w:rPr>
              <w:t>Iepirkuma komisijas locek</w:t>
            </w:r>
            <w:r w:rsidR="00223157">
              <w:rPr>
                <w:sz w:val="24"/>
                <w:szCs w:val="24"/>
                <w:lang w:val="lv-LV"/>
              </w:rPr>
              <w:t>ļi</w:t>
            </w:r>
            <w:r w:rsidRPr="00F02313">
              <w:rPr>
                <w:sz w:val="24"/>
                <w:szCs w:val="24"/>
                <w:lang w:val="lv-LV"/>
              </w:rPr>
              <w:t>:</w:t>
            </w:r>
          </w:p>
        </w:tc>
        <w:tc>
          <w:tcPr>
            <w:tcW w:w="3119" w:type="dxa"/>
          </w:tcPr>
          <w:p w:rsidR="00E90F12" w:rsidRPr="00F02313" w:rsidRDefault="00E90F12" w:rsidP="00F02313">
            <w:pPr>
              <w:keepLines/>
              <w:jc w:val="both"/>
              <w:rPr>
                <w:sz w:val="24"/>
                <w:szCs w:val="24"/>
                <w:lang w:val="lv-LV"/>
              </w:rPr>
            </w:pPr>
          </w:p>
        </w:tc>
        <w:tc>
          <w:tcPr>
            <w:tcW w:w="2268" w:type="dxa"/>
          </w:tcPr>
          <w:p w:rsidR="00D06D75" w:rsidRPr="00F02313" w:rsidRDefault="00D06D75" w:rsidP="00F02313">
            <w:pPr>
              <w:jc w:val="both"/>
              <w:rPr>
                <w:sz w:val="24"/>
                <w:szCs w:val="24"/>
                <w:lang w:val="lv-LV"/>
              </w:rPr>
            </w:pPr>
          </w:p>
          <w:p w:rsidR="006873BB" w:rsidRPr="00F02313" w:rsidRDefault="006873BB" w:rsidP="00F02313">
            <w:pPr>
              <w:jc w:val="both"/>
              <w:rPr>
                <w:sz w:val="24"/>
                <w:szCs w:val="24"/>
                <w:lang w:val="lv-LV"/>
              </w:rPr>
            </w:pPr>
          </w:p>
          <w:p w:rsidR="003B3B33" w:rsidRPr="00F02313" w:rsidRDefault="00223157" w:rsidP="00F02313">
            <w:pPr>
              <w:jc w:val="both"/>
              <w:rPr>
                <w:sz w:val="24"/>
                <w:szCs w:val="24"/>
                <w:lang w:val="lv-LV"/>
              </w:rPr>
            </w:pPr>
            <w:r>
              <w:rPr>
                <w:sz w:val="24"/>
                <w:szCs w:val="24"/>
                <w:lang w:val="lv-LV"/>
              </w:rPr>
              <w:t>Ģ.Freibergs</w:t>
            </w:r>
          </w:p>
          <w:p w:rsidR="00223157" w:rsidRDefault="00223157" w:rsidP="00F02313">
            <w:pPr>
              <w:jc w:val="both"/>
              <w:rPr>
                <w:sz w:val="24"/>
                <w:szCs w:val="24"/>
                <w:lang w:val="lv-LV"/>
              </w:rPr>
            </w:pPr>
            <w:r>
              <w:rPr>
                <w:sz w:val="24"/>
                <w:szCs w:val="24"/>
                <w:lang w:val="lv-LV"/>
              </w:rPr>
              <w:t>V.Ozoliņš</w:t>
            </w:r>
          </w:p>
          <w:p w:rsidR="00FE55F6" w:rsidRPr="00F02313" w:rsidRDefault="00FE55F6" w:rsidP="00F02313">
            <w:pPr>
              <w:jc w:val="both"/>
              <w:rPr>
                <w:sz w:val="24"/>
                <w:szCs w:val="24"/>
                <w:lang w:val="lv-LV"/>
              </w:rPr>
            </w:pPr>
            <w:r w:rsidRPr="00F02313">
              <w:rPr>
                <w:sz w:val="24"/>
                <w:szCs w:val="24"/>
                <w:lang w:val="lv-LV"/>
              </w:rPr>
              <w:t>K.Timpars</w:t>
            </w:r>
          </w:p>
          <w:p w:rsidR="00BD79AF" w:rsidRPr="00F02313" w:rsidRDefault="00BD79AF" w:rsidP="00F02313">
            <w:pPr>
              <w:jc w:val="both"/>
              <w:rPr>
                <w:sz w:val="24"/>
                <w:szCs w:val="24"/>
                <w:lang w:val="lv-LV"/>
              </w:rPr>
            </w:pPr>
          </w:p>
        </w:tc>
      </w:tr>
      <w:tr w:rsidR="00D06D75" w:rsidRPr="00F02313" w:rsidTr="00B721DB">
        <w:trPr>
          <w:cantSplit/>
        </w:trPr>
        <w:tc>
          <w:tcPr>
            <w:tcW w:w="3686" w:type="dxa"/>
          </w:tcPr>
          <w:p w:rsidR="00223157" w:rsidRDefault="00223157" w:rsidP="00F02313">
            <w:pPr>
              <w:keepLines/>
              <w:jc w:val="both"/>
              <w:rPr>
                <w:sz w:val="24"/>
                <w:szCs w:val="24"/>
                <w:lang w:val="lv-LV"/>
              </w:rPr>
            </w:pPr>
          </w:p>
          <w:p w:rsidR="00D06D75" w:rsidRPr="00F02313" w:rsidRDefault="000624FB" w:rsidP="00F02313">
            <w:pPr>
              <w:keepLines/>
              <w:jc w:val="both"/>
              <w:rPr>
                <w:sz w:val="24"/>
                <w:szCs w:val="24"/>
                <w:lang w:val="lv-LV"/>
              </w:rPr>
            </w:pPr>
            <w:r w:rsidRPr="00F02313">
              <w:rPr>
                <w:sz w:val="24"/>
                <w:szCs w:val="24"/>
                <w:lang w:val="lv-LV"/>
              </w:rPr>
              <w:t>Iepirkuma komisijas sekretāre:</w:t>
            </w:r>
          </w:p>
        </w:tc>
        <w:tc>
          <w:tcPr>
            <w:tcW w:w="3119" w:type="dxa"/>
          </w:tcPr>
          <w:p w:rsidR="00D06D75" w:rsidRPr="00F02313" w:rsidRDefault="00D06D75" w:rsidP="00F02313">
            <w:pPr>
              <w:pStyle w:val="Heading3"/>
              <w:keepNext w:val="0"/>
              <w:keepLines/>
              <w:jc w:val="center"/>
              <w:rPr>
                <w:rFonts w:ascii="Times New Roman" w:hAnsi="Times New Roman"/>
                <w:szCs w:val="24"/>
              </w:rPr>
            </w:pPr>
          </w:p>
          <w:p w:rsidR="00D06D75" w:rsidRPr="00F02313" w:rsidRDefault="00D06D75" w:rsidP="00F02313">
            <w:pPr>
              <w:keepLines/>
              <w:jc w:val="both"/>
              <w:rPr>
                <w:sz w:val="24"/>
                <w:szCs w:val="24"/>
                <w:lang w:val="lv-LV"/>
              </w:rPr>
            </w:pPr>
          </w:p>
          <w:p w:rsidR="0064302D" w:rsidRPr="00F02313" w:rsidRDefault="0064302D" w:rsidP="00F02313">
            <w:pPr>
              <w:keepLines/>
              <w:jc w:val="both"/>
              <w:rPr>
                <w:sz w:val="24"/>
                <w:szCs w:val="24"/>
                <w:lang w:val="lv-LV"/>
              </w:rPr>
            </w:pPr>
          </w:p>
        </w:tc>
        <w:tc>
          <w:tcPr>
            <w:tcW w:w="2268" w:type="dxa"/>
          </w:tcPr>
          <w:p w:rsidR="0064302D" w:rsidRPr="00F02313" w:rsidRDefault="0064302D" w:rsidP="00F02313">
            <w:pPr>
              <w:pStyle w:val="Heading3"/>
              <w:rPr>
                <w:rFonts w:ascii="Times New Roman" w:hAnsi="Times New Roman"/>
                <w:szCs w:val="24"/>
              </w:rPr>
            </w:pPr>
          </w:p>
          <w:p w:rsidR="00D06D75" w:rsidRPr="00F02313" w:rsidRDefault="00223157" w:rsidP="00F02313">
            <w:pPr>
              <w:pStyle w:val="Heading3"/>
              <w:rPr>
                <w:rFonts w:ascii="Times New Roman" w:hAnsi="Times New Roman"/>
                <w:szCs w:val="24"/>
              </w:rPr>
            </w:pPr>
            <w:r>
              <w:rPr>
                <w:rFonts w:ascii="Times New Roman" w:hAnsi="Times New Roman"/>
                <w:szCs w:val="24"/>
              </w:rPr>
              <w:t>E.Jonāse</w:t>
            </w:r>
          </w:p>
        </w:tc>
      </w:tr>
    </w:tbl>
    <w:p w:rsidR="00F422A1" w:rsidRDefault="00F422A1" w:rsidP="00F422A1">
      <w:pPr>
        <w:pStyle w:val="BodyTextIndent"/>
        <w:spacing w:before="0"/>
        <w:ind w:firstLine="0"/>
      </w:pPr>
      <w:r>
        <w:t>IZRAKSTS PAREIZS</w:t>
      </w:r>
    </w:p>
    <w:p w:rsidR="00F422A1" w:rsidRDefault="00F422A1" w:rsidP="00F422A1">
      <w:pPr>
        <w:pStyle w:val="BodyTextIndent"/>
        <w:spacing w:before="0"/>
        <w:ind w:firstLine="0"/>
      </w:pPr>
      <w:r>
        <w:t>Iepirkumu komisijas sekretāre</w:t>
      </w:r>
      <w:r>
        <w:tab/>
      </w:r>
      <w:r>
        <w:tab/>
      </w:r>
      <w:r>
        <w:tab/>
        <w:t xml:space="preserve">     </w:t>
      </w:r>
    </w:p>
    <w:p w:rsidR="00F422A1" w:rsidRPr="00E973F2" w:rsidRDefault="00F422A1" w:rsidP="00F422A1">
      <w:pPr>
        <w:pStyle w:val="BodyTextIndent"/>
        <w:spacing w:before="0"/>
        <w:ind w:firstLine="0"/>
        <w:rPr>
          <w:szCs w:val="24"/>
        </w:rPr>
      </w:pPr>
      <w:r>
        <w:t>Rīgā, 2017.gada 28</w:t>
      </w:r>
      <w:r>
        <w:t>.septembrī</w:t>
      </w:r>
      <w:r>
        <w:tab/>
      </w:r>
      <w:r>
        <w:tab/>
      </w:r>
      <w:r>
        <w:tab/>
      </w:r>
      <w:r>
        <w:tab/>
        <w:t xml:space="preserve">   </w:t>
      </w:r>
      <w:r>
        <w:tab/>
        <w:t xml:space="preserve">     </w:t>
      </w:r>
      <w:r>
        <w:tab/>
      </w:r>
      <w:r>
        <w:t>E.Jonāse</w:t>
      </w:r>
    </w:p>
    <w:p w:rsidR="00856E28" w:rsidRPr="00F02313" w:rsidRDefault="00856E28" w:rsidP="00F02313">
      <w:pPr>
        <w:pStyle w:val="BodyText2"/>
        <w:keepLines/>
        <w:tabs>
          <w:tab w:val="center" w:pos="4153"/>
        </w:tabs>
        <w:rPr>
          <w:rFonts w:ascii="Times New Roman" w:hAnsi="Times New Roman"/>
          <w:szCs w:val="24"/>
        </w:rPr>
      </w:pPr>
      <w:bookmarkStart w:id="2" w:name="_GoBack"/>
      <w:bookmarkEnd w:id="2"/>
    </w:p>
    <w:sectPr w:rsidR="00856E28" w:rsidRPr="00F02313" w:rsidSect="00F65883">
      <w:footerReference w:type="default" r:id="rId9"/>
      <w:pgSz w:w="11906" w:h="16838"/>
      <w:pgMar w:top="1440" w:right="1416" w:bottom="144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5E" w:rsidRDefault="00E3305E" w:rsidP="006D30C0">
      <w:r>
        <w:separator/>
      </w:r>
    </w:p>
  </w:endnote>
  <w:endnote w:type="continuationSeparator" w:id="0">
    <w:p w:rsidR="00E3305E" w:rsidRDefault="00E3305E"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5621"/>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F422A1">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5E" w:rsidRDefault="00E3305E" w:rsidP="006D30C0">
      <w:r>
        <w:separator/>
      </w:r>
    </w:p>
  </w:footnote>
  <w:footnote w:type="continuationSeparator" w:id="0">
    <w:p w:rsidR="00E3305E" w:rsidRDefault="00E3305E"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6">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7"/>
  </w:num>
  <w:num w:numId="11">
    <w:abstractNumId w:val="2"/>
  </w:num>
  <w:num w:numId="12">
    <w:abstractNumId w:val="21"/>
  </w:num>
  <w:num w:numId="13">
    <w:abstractNumId w:val="6"/>
  </w:num>
  <w:num w:numId="14">
    <w:abstractNumId w:val="5"/>
  </w:num>
  <w:num w:numId="15">
    <w:abstractNumId w:val="10"/>
  </w:num>
  <w:num w:numId="16">
    <w:abstractNumId w:val="8"/>
  </w:num>
  <w:num w:numId="17">
    <w:abstractNumId w:val="9"/>
  </w:num>
  <w:num w:numId="18">
    <w:abstractNumId w:val="11"/>
  </w:num>
  <w:num w:numId="19">
    <w:abstractNumId w:val="18"/>
  </w:num>
  <w:num w:numId="20">
    <w:abstractNumId w:val="20"/>
  </w:num>
  <w:num w:numId="21">
    <w:abstractNumId w:val="1"/>
  </w:num>
  <w:num w:numId="22">
    <w:abstractNumId w:val="19"/>
  </w:num>
  <w:num w:numId="23">
    <w:abstractNumId w:val="12"/>
  </w:num>
  <w:num w:numId="24">
    <w:abstractNumId w:val="4"/>
  </w:num>
  <w:num w:numId="25">
    <w:abstractNumId w:val="15"/>
  </w:num>
  <w:num w:numId="26">
    <w:abstractNumId w:val="3"/>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44C6"/>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D11EE"/>
    <w:rsid w:val="000D1219"/>
    <w:rsid w:val="000D314E"/>
    <w:rsid w:val="000D3C0B"/>
    <w:rsid w:val="000D4C2A"/>
    <w:rsid w:val="000D65B6"/>
    <w:rsid w:val="000E2907"/>
    <w:rsid w:val="000E3EFD"/>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493A"/>
    <w:rsid w:val="00154A5C"/>
    <w:rsid w:val="001550BA"/>
    <w:rsid w:val="001556B4"/>
    <w:rsid w:val="00156236"/>
    <w:rsid w:val="00160D91"/>
    <w:rsid w:val="0016333C"/>
    <w:rsid w:val="0016461F"/>
    <w:rsid w:val="00165D9C"/>
    <w:rsid w:val="001666D5"/>
    <w:rsid w:val="00167446"/>
    <w:rsid w:val="0016754A"/>
    <w:rsid w:val="0016758C"/>
    <w:rsid w:val="00171A60"/>
    <w:rsid w:val="001738A6"/>
    <w:rsid w:val="001738B0"/>
    <w:rsid w:val="001741AB"/>
    <w:rsid w:val="001743C9"/>
    <w:rsid w:val="00174401"/>
    <w:rsid w:val="00174BCC"/>
    <w:rsid w:val="001761B2"/>
    <w:rsid w:val="00177097"/>
    <w:rsid w:val="00180978"/>
    <w:rsid w:val="00181BA8"/>
    <w:rsid w:val="00181F6E"/>
    <w:rsid w:val="00182A5B"/>
    <w:rsid w:val="001830B9"/>
    <w:rsid w:val="00183CF3"/>
    <w:rsid w:val="00183E64"/>
    <w:rsid w:val="0018459C"/>
    <w:rsid w:val="00184C0F"/>
    <w:rsid w:val="0018705A"/>
    <w:rsid w:val="00191CC7"/>
    <w:rsid w:val="00192E94"/>
    <w:rsid w:val="001932B8"/>
    <w:rsid w:val="001934FF"/>
    <w:rsid w:val="00195736"/>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18C2"/>
    <w:rsid w:val="001D394D"/>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2891"/>
    <w:rsid w:val="003A34C7"/>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851"/>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69D8"/>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0D81"/>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0DE2"/>
    <w:rsid w:val="00611F9A"/>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2B6"/>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5275"/>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E2B65"/>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1046"/>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747B"/>
    <w:rsid w:val="007B7488"/>
    <w:rsid w:val="007B7A1B"/>
    <w:rsid w:val="007C092E"/>
    <w:rsid w:val="007C1F74"/>
    <w:rsid w:val="007C2CD9"/>
    <w:rsid w:val="007C2E6F"/>
    <w:rsid w:val="007C2FEA"/>
    <w:rsid w:val="007C45F9"/>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04D6"/>
    <w:rsid w:val="008036C3"/>
    <w:rsid w:val="00803D0E"/>
    <w:rsid w:val="00804422"/>
    <w:rsid w:val="0080638B"/>
    <w:rsid w:val="00813363"/>
    <w:rsid w:val="00813623"/>
    <w:rsid w:val="00820F50"/>
    <w:rsid w:val="0082140C"/>
    <w:rsid w:val="008219B4"/>
    <w:rsid w:val="0082287B"/>
    <w:rsid w:val="00823111"/>
    <w:rsid w:val="008233CD"/>
    <w:rsid w:val="00823B0B"/>
    <w:rsid w:val="00825A82"/>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68B"/>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E64"/>
    <w:rsid w:val="00970FD7"/>
    <w:rsid w:val="00971EED"/>
    <w:rsid w:val="00972094"/>
    <w:rsid w:val="00973F17"/>
    <w:rsid w:val="00977B9C"/>
    <w:rsid w:val="00980917"/>
    <w:rsid w:val="00981FD1"/>
    <w:rsid w:val="00986131"/>
    <w:rsid w:val="009874F7"/>
    <w:rsid w:val="009905F3"/>
    <w:rsid w:val="00990622"/>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229"/>
    <w:rsid w:val="009C0A45"/>
    <w:rsid w:val="009C3563"/>
    <w:rsid w:val="009C4600"/>
    <w:rsid w:val="009C6F9A"/>
    <w:rsid w:val="009C7806"/>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42D"/>
    <w:rsid w:val="00A46639"/>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0D7E"/>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6B25"/>
    <w:rsid w:val="00B774ED"/>
    <w:rsid w:val="00B77B9E"/>
    <w:rsid w:val="00B802AB"/>
    <w:rsid w:val="00B8258B"/>
    <w:rsid w:val="00B83475"/>
    <w:rsid w:val="00B8399A"/>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92E"/>
    <w:rsid w:val="00CC12D9"/>
    <w:rsid w:val="00CC4BCD"/>
    <w:rsid w:val="00CC6619"/>
    <w:rsid w:val="00CC6F36"/>
    <w:rsid w:val="00CD02AD"/>
    <w:rsid w:val="00CD21A7"/>
    <w:rsid w:val="00CD2349"/>
    <w:rsid w:val="00CD3BA5"/>
    <w:rsid w:val="00CD4006"/>
    <w:rsid w:val="00CD4633"/>
    <w:rsid w:val="00CD589C"/>
    <w:rsid w:val="00CD631E"/>
    <w:rsid w:val="00CD6A94"/>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77680"/>
    <w:rsid w:val="00D82CBF"/>
    <w:rsid w:val="00D82D14"/>
    <w:rsid w:val="00D87EE9"/>
    <w:rsid w:val="00D90343"/>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BAC"/>
    <w:rsid w:val="00DC0A0E"/>
    <w:rsid w:val="00DC1932"/>
    <w:rsid w:val="00DC1D1D"/>
    <w:rsid w:val="00DC39DB"/>
    <w:rsid w:val="00DC6500"/>
    <w:rsid w:val="00DD0B8A"/>
    <w:rsid w:val="00DD353F"/>
    <w:rsid w:val="00DD4F30"/>
    <w:rsid w:val="00DD5B10"/>
    <w:rsid w:val="00DD626D"/>
    <w:rsid w:val="00DD7C87"/>
    <w:rsid w:val="00DE22B1"/>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05E"/>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102B1"/>
    <w:rsid w:val="00F10775"/>
    <w:rsid w:val="00F1134C"/>
    <w:rsid w:val="00F1202E"/>
    <w:rsid w:val="00F13D15"/>
    <w:rsid w:val="00F141B7"/>
    <w:rsid w:val="00F154C4"/>
    <w:rsid w:val="00F22326"/>
    <w:rsid w:val="00F22781"/>
    <w:rsid w:val="00F26492"/>
    <w:rsid w:val="00F30A72"/>
    <w:rsid w:val="00F31096"/>
    <w:rsid w:val="00F3349F"/>
    <w:rsid w:val="00F341EE"/>
    <w:rsid w:val="00F34759"/>
    <w:rsid w:val="00F34D06"/>
    <w:rsid w:val="00F35A38"/>
    <w:rsid w:val="00F36118"/>
    <w:rsid w:val="00F361E2"/>
    <w:rsid w:val="00F37650"/>
    <w:rsid w:val="00F419DB"/>
    <w:rsid w:val="00F422A1"/>
    <w:rsid w:val="00F44443"/>
    <w:rsid w:val="00F44B97"/>
    <w:rsid w:val="00F472C6"/>
    <w:rsid w:val="00F50A7F"/>
    <w:rsid w:val="00F50FD9"/>
    <w:rsid w:val="00F51217"/>
    <w:rsid w:val="00F51AA4"/>
    <w:rsid w:val="00F51AA8"/>
    <w:rsid w:val="00F529DA"/>
    <w:rsid w:val="00F53D23"/>
    <w:rsid w:val="00F551A5"/>
    <w:rsid w:val="00F6077E"/>
    <w:rsid w:val="00F61952"/>
    <w:rsid w:val="00F6200F"/>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7EFE-8FAE-4849-A704-045FCC70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3131</Words>
  <Characters>1786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2017-09-13T12:00:00Z</cp:lastPrinted>
  <dcterms:created xsi:type="dcterms:W3CDTF">2017-09-28T13:54:00Z</dcterms:created>
  <dcterms:modified xsi:type="dcterms:W3CDTF">2017-09-28T13:58:00Z</dcterms:modified>
</cp:coreProperties>
</file>