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3CDEEB12" w:rsidR="00D37BFA" w:rsidRPr="0036734A" w:rsidRDefault="00186C93" w:rsidP="00D37BFA">
            <w:pPr>
              <w:jc w:val="center"/>
              <w:rPr>
                <w:b/>
                <w:szCs w:val="24"/>
              </w:rPr>
            </w:pPr>
            <w:r w:rsidRPr="00186C93">
              <w:rPr>
                <w:rFonts w:eastAsia="Calibri"/>
                <w:b/>
                <w:bCs/>
                <w:noProof/>
                <w:szCs w:val="24"/>
              </w:rPr>
              <w:t>Meža inventarizācijas veikšana zemes vienībā "Mazstendnieki", Lībagu pagastā, Talsu novadā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265E7EDD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186C93">
        <w:rPr>
          <w:szCs w:val="24"/>
          <w:u w:val="single"/>
        </w:rPr>
        <w:t>33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4776BF51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186C93">
        <w:rPr>
          <w:szCs w:val="24"/>
          <w:u w:val="single"/>
        </w:rPr>
        <w:t>21.05</w:t>
      </w:r>
      <w:r w:rsidR="00E95A09">
        <w:rPr>
          <w:szCs w:val="24"/>
          <w:u w:val="single"/>
        </w:rPr>
        <w:t>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53BDF9D8" w:rsidR="00850EAA" w:rsidRPr="0036734A" w:rsidRDefault="00AC32F0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SIA “AB </w:t>
            </w:r>
            <w:proofErr w:type="spellStart"/>
            <w:r>
              <w:rPr>
                <w:b/>
                <w:bCs/>
                <w:szCs w:val="24"/>
              </w:rPr>
              <w:t>Timber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36CEA8C2" w:rsidR="00850EAA" w:rsidRPr="0036734A" w:rsidRDefault="00AC32F0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40003894611</w:t>
            </w:r>
          </w:p>
        </w:tc>
        <w:tc>
          <w:tcPr>
            <w:tcW w:w="3005" w:type="dxa"/>
            <w:vAlign w:val="center"/>
          </w:tcPr>
          <w:p w14:paraId="0F579CA4" w14:textId="77777777" w:rsidR="006757B0" w:rsidRPr="006757B0" w:rsidRDefault="006757B0" w:rsidP="003713AD">
            <w:pPr>
              <w:jc w:val="center"/>
              <w:rPr>
                <w:bCs/>
                <w:szCs w:val="24"/>
              </w:rPr>
            </w:pPr>
            <w:r w:rsidRPr="006757B0">
              <w:rPr>
                <w:bCs/>
                <w:szCs w:val="24"/>
              </w:rPr>
              <w:t xml:space="preserve">Laimdotas 1b-4, Rīga, </w:t>
            </w:r>
          </w:p>
          <w:p w14:paraId="54692F87" w14:textId="1F76102F" w:rsidR="00850EAA" w:rsidRPr="0036734A" w:rsidRDefault="006757B0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757B0">
              <w:rPr>
                <w:bCs/>
                <w:szCs w:val="24"/>
              </w:rPr>
              <w:t>LV 1006</w:t>
            </w:r>
          </w:p>
        </w:tc>
        <w:tc>
          <w:tcPr>
            <w:tcW w:w="1843" w:type="dxa"/>
            <w:vAlign w:val="center"/>
          </w:tcPr>
          <w:p w14:paraId="625137C4" w14:textId="1DBA5607" w:rsidR="00850EAA" w:rsidRPr="0036734A" w:rsidRDefault="006757B0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87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377C0CC2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186C93">
        <w:rPr>
          <w:szCs w:val="24"/>
          <w:u w:val="single"/>
        </w:rPr>
        <w:t>21.05.</w:t>
      </w:r>
      <w:r w:rsidR="001F24F4">
        <w:rPr>
          <w:szCs w:val="24"/>
          <w:u w:val="single"/>
        </w:rPr>
        <w:t>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86C93"/>
    <w:rsid w:val="001D2831"/>
    <w:rsid w:val="001D6BEA"/>
    <w:rsid w:val="001F24F4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737FF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757B0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2F0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A1816"/>
    <w:rsid w:val="00FB2C50"/>
    <w:rsid w:val="00FB5FFC"/>
    <w:rsid w:val="00FE1C67"/>
    <w:rsid w:val="00FE406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2024-05-21T08:17:00Z</dcterms:created>
  <dcterms:modified xsi:type="dcterms:W3CDTF">2024-05-21T08:19:00Z</dcterms:modified>
</cp:coreProperties>
</file>